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spacing w:after="0" w:line="240" w:lineRule="auto"/>
        <w:jc w:val="left"/>
        <w:rPr>
          <w:rFonts w:ascii="Arial" w:hAnsi="Arial" w:eastAsia="Times New Roman"/>
          <w:b/>
          <w:bCs/>
          <w:i/>
          <w:sz w:val="24"/>
          <w:szCs w:val="24"/>
          <w:lang w:val="en-GB" w:eastAsia="en-US"/>
        </w:rPr>
      </w:pPr>
      <w:r>
        <w:rPr>
          <w:rFonts w:ascii="Arial" w:hAnsi="Arial" w:eastAsia="Times New Roman" w:cs="Arial"/>
          <w:b/>
          <w:bCs/>
          <w:sz w:val="24"/>
          <w:szCs w:val="24"/>
          <w:lang w:val="en-GB" w:eastAsia="en-US"/>
        </w:rPr>
        <w:t xml:space="preserve">3GPP TSG-RAN </w:t>
      </w:r>
      <w:r>
        <w:rPr>
          <w:rFonts w:ascii="Arial" w:hAnsi="Arial" w:eastAsia="Times New Roman" w:cs="Arial"/>
          <w:b/>
          <w:sz w:val="24"/>
          <w:szCs w:val="24"/>
          <w:lang w:val="en-GB" w:eastAsia="en-US"/>
        </w:rPr>
        <w:t>WG2 Meeting #121</w:t>
      </w:r>
      <w:r>
        <w:rPr>
          <w:rFonts w:hint="eastAsia" w:ascii="Arial" w:hAnsi="Arial" w:cs="Arial"/>
          <w:b/>
          <w:sz w:val="24"/>
          <w:szCs w:val="24"/>
          <w:lang w:val="en-US" w:eastAsia="zh-CN"/>
        </w:rPr>
        <w:t>bis</w:t>
      </w:r>
      <w:r>
        <w:rPr>
          <w:rFonts w:ascii="Arial" w:hAnsi="Arial" w:cs="Arial"/>
          <w:b/>
          <w:sz w:val="24"/>
          <w:szCs w:val="24"/>
          <w:lang w:val="en-GB" w:eastAsia="en-US"/>
        </w:rPr>
        <w:t xml:space="preserve"> </w:t>
      </w:r>
      <w:r>
        <w:rPr>
          <w:rFonts w:ascii="Arial" w:hAnsi="Arial" w:eastAsia="Times New Roman"/>
          <w:b/>
          <w:bCs/>
          <w:sz w:val="24"/>
          <w:szCs w:val="24"/>
          <w:lang w:val="en-GB" w:eastAsia="en-US"/>
        </w:rPr>
        <w:tab/>
      </w:r>
      <w:r>
        <w:rPr>
          <w:rFonts w:ascii="Arial" w:hAnsi="Arial" w:eastAsia="Times New Roman"/>
          <w:b/>
          <w:bCs/>
          <w:sz w:val="24"/>
          <w:szCs w:val="24"/>
          <w:lang w:val="en-GB" w:eastAsia="en-US"/>
        </w:rPr>
        <w:t>R2-2302642</w:t>
      </w:r>
    </w:p>
    <w:p>
      <w:pPr>
        <w:tabs>
          <w:tab w:val="left" w:pos="1985"/>
          <w:tab w:val="right" w:pos="9639"/>
        </w:tabs>
        <w:spacing w:after="100" w:afterAutospacing="1" w:line="240" w:lineRule="auto"/>
        <w:rPr>
          <w:rFonts w:ascii="Arial" w:hAnsi="Arial" w:eastAsia="Times New Roman" w:cs="Arial"/>
          <w:b/>
          <w:sz w:val="24"/>
          <w:szCs w:val="24"/>
          <w:lang w:val="en-GB" w:eastAsia="en-US"/>
        </w:rPr>
      </w:pPr>
      <w:r>
        <w:rPr>
          <w:rFonts w:ascii="Arial" w:hAnsi="Arial" w:eastAsia="宋体" w:cs="Arial"/>
          <w:b/>
          <w:sz w:val="22"/>
          <w:szCs w:val="22"/>
          <w:lang w:eastAsia="zh-CN"/>
        </w:rPr>
        <w:t>Online,</w:t>
      </w:r>
      <w:r>
        <w:rPr>
          <w:rFonts w:ascii="Arial" w:hAnsi="Arial" w:eastAsia="Times New Roman" w:cs="Arial"/>
          <w:b/>
          <w:sz w:val="24"/>
          <w:szCs w:val="24"/>
          <w:lang w:val="en-GB" w:eastAsia="en-US"/>
        </w:rPr>
        <w:t xml:space="preserve"> </w:t>
      </w:r>
      <w:r>
        <w:rPr>
          <w:rFonts w:hint="eastAsia" w:ascii="Arial" w:hAnsi="Arial" w:cs="Arial"/>
          <w:b/>
          <w:sz w:val="24"/>
          <w:szCs w:val="24"/>
          <w:lang w:val="en-US" w:eastAsia="zh-CN"/>
        </w:rPr>
        <w:t>1</w:t>
      </w:r>
      <w:r>
        <w:rPr>
          <w:rFonts w:ascii="Arial" w:hAnsi="Arial" w:eastAsia="Times New Roman" w:cs="Arial"/>
          <w:b/>
          <w:sz w:val="24"/>
          <w:szCs w:val="24"/>
          <w:lang w:val="en-GB" w:eastAsia="en-US"/>
        </w:rPr>
        <w:t xml:space="preserve">7th – </w:t>
      </w:r>
      <w:r>
        <w:rPr>
          <w:rFonts w:hint="eastAsia" w:ascii="Arial" w:hAnsi="Arial" w:cs="Arial"/>
          <w:b/>
          <w:sz w:val="24"/>
          <w:szCs w:val="24"/>
          <w:lang w:val="en-US" w:eastAsia="zh-CN"/>
        </w:rPr>
        <w:t>26th</w:t>
      </w:r>
      <w:r>
        <w:rPr>
          <w:rFonts w:ascii="Arial" w:hAnsi="Arial" w:eastAsia="Times New Roman" w:cs="Arial"/>
          <w:b/>
          <w:sz w:val="24"/>
          <w:szCs w:val="24"/>
          <w:lang w:val="en-GB" w:eastAsia="en-US"/>
        </w:rPr>
        <w:t xml:space="preserve"> </w:t>
      </w:r>
      <w:r>
        <w:rPr>
          <w:rFonts w:hint="eastAsia" w:ascii="Arial" w:hAnsi="Arial" w:cs="Arial"/>
          <w:b/>
          <w:sz w:val="24"/>
          <w:szCs w:val="24"/>
          <w:lang w:val="en-US" w:eastAsia="zh-CN"/>
        </w:rPr>
        <w:t>April</w:t>
      </w:r>
      <w:r>
        <w:rPr>
          <w:rFonts w:ascii="Arial" w:hAnsi="Arial" w:eastAsia="Times New Roman" w:cs="Arial"/>
          <w:b/>
          <w:sz w:val="24"/>
          <w:szCs w:val="24"/>
          <w:lang w:val="en-GB" w:eastAsia="en-US"/>
        </w:rPr>
        <w:t>, 2023</w:t>
      </w:r>
    </w:p>
    <w:p>
      <w:pPr>
        <w:widowControl w:val="0"/>
        <w:spacing w:after="0"/>
        <w:jc w:val="left"/>
        <w:rPr>
          <w:rFonts w:ascii="Arial" w:hAnsi="Arial" w:eastAsia="Times New Roman"/>
          <w:b/>
          <w:bCs/>
          <w:sz w:val="24"/>
        </w:rPr>
      </w:pPr>
    </w:p>
    <w:p>
      <w:pPr>
        <w:tabs>
          <w:tab w:val="left" w:pos="1985"/>
        </w:tabs>
        <w:overflowPunct/>
        <w:autoSpaceDE/>
        <w:autoSpaceDN/>
        <w:adjustRightInd/>
        <w:spacing w:after="120"/>
        <w:jc w:val="left"/>
        <w:textAlignment w:val="auto"/>
        <w:rPr>
          <w:rFonts w:ascii="Arial" w:hAnsi="Arial" w:eastAsia="MS Mincho" w:cs="Arial"/>
          <w:b/>
          <w:bCs/>
          <w:sz w:val="24"/>
          <w:lang w:val="en-GB"/>
        </w:rPr>
      </w:pPr>
      <w:r>
        <w:rPr>
          <w:rFonts w:ascii="Arial" w:hAnsi="Arial" w:eastAsia="MS Mincho" w:cs="Arial"/>
          <w:b/>
          <w:bCs/>
          <w:sz w:val="24"/>
          <w:lang w:val="en-GB" w:eastAsia="en-US"/>
        </w:rPr>
        <w:t>Agenda item:</w:t>
      </w:r>
      <w:r>
        <w:rPr>
          <w:rFonts w:ascii="Arial" w:hAnsi="Arial" w:eastAsia="MS Mincho" w:cs="Arial"/>
          <w:b/>
          <w:bCs/>
          <w:sz w:val="24"/>
          <w:lang w:val="en-GB" w:eastAsia="en-US"/>
        </w:rPr>
        <w:tab/>
      </w:r>
      <w:r>
        <w:rPr>
          <w:rFonts w:hint="eastAsia" w:ascii="Arial" w:hAnsi="Arial" w:cs="Arial"/>
          <w:b/>
          <w:bCs/>
          <w:sz w:val="24"/>
          <w:lang w:val="en-US" w:eastAsia="zh-CN"/>
        </w:rPr>
        <w:t>7</w:t>
      </w:r>
      <w:r>
        <w:rPr>
          <w:rFonts w:ascii="Arial" w:hAnsi="Arial" w:eastAsia="MS Mincho" w:cs="Arial"/>
          <w:b/>
          <w:bCs/>
          <w:sz w:val="24"/>
          <w:lang w:val="en-GB" w:eastAsia="en-US"/>
        </w:rPr>
        <w:t>.19.2</w:t>
      </w:r>
    </w:p>
    <w:p>
      <w:pPr>
        <w:tabs>
          <w:tab w:val="left" w:pos="1985"/>
        </w:tabs>
        <w:overflowPunct/>
        <w:autoSpaceDE/>
        <w:autoSpaceDN/>
        <w:adjustRightInd/>
        <w:ind w:left="1985" w:hanging="1985"/>
        <w:jc w:val="left"/>
        <w:textAlignment w:val="auto"/>
        <w:rPr>
          <w:rFonts w:hint="default" w:ascii="Arial" w:hAnsi="Arial" w:eastAsia="宋体" w:cs="Arial"/>
          <w:b/>
          <w:bCs/>
          <w:sz w:val="24"/>
          <w:lang w:val="en-US" w:eastAsia="zh-CN"/>
        </w:rPr>
      </w:pPr>
      <w:r>
        <w:rPr>
          <w:rFonts w:ascii="Arial" w:hAnsi="Arial" w:eastAsia="Times New Roman" w:cs="Arial"/>
          <w:b/>
          <w:bCs/>
          <w:sz w:val="24"/>
          <w:lang w:val="en-GB" w:eastAsia="en-US"/>
        </w:rPr>
        <w:t>Source:</w:t>
      </w:r>
      <w:r>
        <w:rPr>
          <w:rFonts w:ascii="Arial" w:hAnsi="Arial" w:eastAsia="Times New Roman" w:cs="Arial"/>
          <w:b/>
          <w:bCs/>
          <w:sz w:val="24"/>
          <w:lang w:val="en-GB" w:eastAsia="en-US"/>
        </w:rPr>
        <w:tab/>
      </w:r>
      <w:r>
        <w:rPr>
          <w:rFonts w:hint="eastAsia" w:ascii="Arial" w:hAnsi="Arial" w:cs="Arial"/>
          <w:b/>
          <w:bCs/>
          <w:sz w:val="24"/>
          <w:lang w:val="en-US" w:eastAsia="zh-CN"/>
        </w:rPr>
        <w:t>ChinaTelecom</w:t>
      </w:r>
    </w:p>
    <w:p>
      <w:pPr>
        <w:tabs>
          <w:tab w:val="left" w:pos="1985"/>
        </w:tabs>
        <w:overflowPunct/>
        <w:autoSpaceDE/>
        <w:autoSpaceDN/>
        <w:adjustRightInd/>
        <w:ind w:left="1985" w:hanging="1985"/>
        <w:jc w:val="left"/>
        <w:textAlignment w:val="auto"/>
        <w:rPr>
          <w:rFonts w:ascii="Arial" w:hAnsi="Arial" w:eastAsia="Times New Roman" w:cs="Arial"/>
          <w:b/>
          <w:bCs/>
          <w:sz w:val="24"/>
          <w:lang w:val="en-GB" w:eastAsia="en-US"/>
        </w:rPr>
      </w:pPr>
      <w:r>
        <w:rPr>
          <w:rFonts w:ascii="Arial" w:hAnsi="Arial" w:eastAsia="Times New Roman" w:cs="Arial"/>
          <w:b/>
          <w:bCs/>
          <w:sz w:val="24"/>
          <w:lang w:val="en-GB" w:eastAsia="en-US"/>
        </w:rPr>
        <w:t>Title:</w:t>
      </w:r>
      <w:r>
        <w:rPr>
          <w:rFonts w:ascii="Arial" w:hAnsi="Arial" w:eastAsia="Times New Roman" w:cs="Arial"/>
          <w:b/>
          <w:bCs/>
          <w:sz w:val="24"/>
          <w:lang w:val="en-GB" w:eastAsia="en-US"/>
        </w:rPr>
        <w:tab/>
      </w:r>
      <w:r>
        <w:rPr>
          <w:rFonts w:ascii="Arial" w:hAnsi="Arial" w:eastAsia="Times New Roman" w:cs="Arial"/>
          <w:b/>
          <w:bCs/>
          <w:sz w:val="24"/>
          <w:lang w:val="en-GB" w:eastAsia="en-US"/>
        </w:rPr>
        <w:t>Discussion on enhanced eDRX in RRC_INACTIVE</w:t>
      </w:r>
    </w:p>
    <w:p>
      <w:pPr>
        <w:tabs>
          <w:tab w:val="left" w:pos="1985"/>
        </w:tabs>
        <w:overflowPunct/>
        <w:autoSpaceDE/>
        <w:autoSpaceDN/>
        <w:adjustRightInd/>
        <w:jc w:val="left"/>
        <w:textAlignment w:val="auto"/>
        <w:rPr>
          <w:rFonts w:ascii="Arial" w:hAnsi="Arial" w:eastAsia="Times New Roman" w:cs="Arial"/>
          <w:b/>
          <w:bCs/>
          <w:sz w:val="24"/>
          <w:lang w:val="en-GB" w:eastAsia="en-US"/>
        </w:rPr>
      </w:pPr>
      <w:bookmarkStart w:id="0" w:name="_Hlk506366071"/>
      <w:r>
        <w:rPr>
          <w:rFonts w:ascii="Arial" w:hAnsi="Arial" w:eastAsia="Times New Roman" w:cs="Arial"/>
          <w:b/>
          <w:bCs/>
          <w:sz w:val="24"/>
          <w:lang w:val="en-GB" w:eastAsia="en-US"/>
        </w:rPr>
        <w:t>Document for:</w:t>
      </w:r>
      <w:r>
        <w:rPr>
          <w:rFonts w:ascii="Arial" w:hAnsi="Arial" w:eastAsia="Times New Roman" w:cs="Arial"/>
          <w:b/>
          <w:bCs/>
          <w:sz w:val="24"/>
          <w:lang w:val="en-GB" w:eastAsia="en-US"/>
        </w:rPr>
        <w:tab/>
      </w:r>
      <w:r>
        <w:rPr>
          <w:rFonts w:ascii="Arial" w:hAnsi="Arial" w:eastAsia="Times New Roman" w:cs="Arial"/>
          <w:b/>
          <w:bCs/>
          <w:sz w:val="24"/>
          <w:lang w:val="en-GB" w:eastAsia="en-US"/>
        </w:rPr>
        <w:t>Discussion and Decision</w:t>
      </w:r>
      <w:bookmarkEnd w:id="0"/>
    </w:p>
    <w:p>
      <w:pPr>
        <w:pStyle w:val="2"/>
        <w:numPr>
          <w:ilvl w:val="0"/>
          <w:numId w:val="5"/>
        </w:numPr>
      </w:pPr>
      <w:r>
        <w:t>Introduction</w:t>
      </w:r>
    </w:p>
    <w:p>
      <w:pPr>
        <w:spacing w:after="120" w:line="240" w:lineRule="auto"/>
        <w:rPr>
          <w:sz w:val="21"/>
          <w:szCs w:val="21"/>
          <w:lang w:val="en-GB"/>
        </w:rPr>
      </w:pPr>
      <w:r>
        <w:rPr>
          <w:sz w:val="21"/>
          <w:szCs w:val="21"/>
          <w:lang w:val="en-GB"/>
        </w:rPr>
        <w:t>In RAN</w:t>
      </w:r>
      <w:r>
        <w:rPr>
          <w:rFonts w:hint="eastAsia"/>
          <w:sz w:val="21"/>
          <w:szCs w:val="21"/>
          <w:lang w:val="en-US" w:eastAsia="zh-CN"/>
        </w:rPr>
        <w:t>2</w:t>
      </w:r>
      <w:r>
        <w:rPr>
          <w:sz w:val="21"/>
          <w:szCs w:val="21"/>
          <w:lang w:val="en-GB"/>
        </w:rPr>
        <w:t>#</w:t>
      </w:r>
      <w:r>
        <w:rPr>
          <w:rFonts w:hint="eastAsia"/>
          <w:sz w:val="21"/>
          <w:szCs w:val="21"/>
          <w:lang w:val="en-US" w:eastAsia="zh-CN"/>
        </w:rPr>
        <w:t>121</w:t>
      </w:r>
      <w:r>
        <w:rPr>
          <w:sz w:val="21"/>
          <w:szCs w:val="21"/>
          <w:lang w:val="en-GB"/>
        </w:rPr>
        <w:t xml:space="preserve">, the </w:t>
      </w:r>
      <w:r>
        <w:rPr>
          <w:rFonts w:hint="eastAsia"/>
          <w:sz w:val="21"/>
          <w:szCs w:val="21"/>
          <w:lang w:val="en-US" w:eastAsia="zh-CN"/>
        </w:rPr>
        <w:t>e</w:t>
      </w:r>
      <w:r>
        <w:rPr>
          <w:sz w:val="21"/>
          <w:szCs w:val="21"/>
          <w:lang w:val="en-GB"/>
        </w:rPr>
        <w:t xml:space="preserve">nhanced </w:t>
      </w:r>
      <w:r>
        <w:rPr>
          <w:rFonts w:hint="eastAsia"/>
          <w:sz w:val="21"/>
          <w:szCs w:val="21"/>
          <w:lang w:val="en-US" w:eastAsia="zh-CN"/>
        </w:rPr>
        <w:t>eDRX in RRC_INACTIVE</w:t>
      </w:r>
      <w:r>
        <w:rPr>
          <w:sz w:val="21"/>
          <w:szCs w:val="21"/>
        </w:rPr>
        <w:t xml:space="preserve"> [1] </w:t>
      </w:r>
      <w:r>
        <w:rPr>
          <w:sz w:val="21"/>
          <w:szCs w:val="21"/>
          <w:lang w:val="en-GB"/>
        </w:rPr>
        <w:t xml:space="preserve">was </w:t>
      </w:r>
      <w:r>
        <w:rPr>
          <w:rFonts w:hint="eastAsia"/>
          <w:sz w:val="21"/>
          <w:szCs w:val="21"/>
          <w:lang w:val="en-US" w:eastAsia="zh-CN"/>
        </w:rPr>
        <w:t>discussed</w:t>
      </w:r>
      <w:r>
        <w:rPr>
          <w:sz w:val="21"/>
          <w:szCs w:val="21"/>
          <w:lang w:val="en-GB"/>
        </w:rPr>
        <w:t xml:space="preserve">. As part of the objective, the following </w:t>
      </w:r>
      <w:r>
        <w:rPr>
          <w:rFonts w:hint="eastAsia"/>
          <w:sz w:val="21"/>
          <w:szCs w:val="21"/>
          <w:lang w:val="en-US" w:eastAsia="zh-CN"/>
        </w:rPr>
        <w:t>mechanism</w:t>
      </w:r>
      <w:r>
        <w:rPr>
          <w:sz w:val="21"/>
          <w:szCs w:val="21"/>
          <w:lang w:val="en-GB"/>
        </w:rPr>
        <w:t xml:space="preserve"> have been considered. </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9" w:type="dxa"/>
            <w:tcBorders>
              <w:top w:val="single" w:color="auto" w:sz="4" w:space="0"/>
              <w:left w:val="single" w:color="auto" w:sz="4" w:space="0"/>
              <w:bottom w:val="single" w:color="auto" w:sz="4" w:space="0"/>
              <w:right w:val="single" w:color="auto" w:sz="4" w:space="0"/>
            </w:tcBorders>
            <w:vAlign w:val="top"/>
          </w:tcPr>
          <w:p>
            <w:pPr>
              <w:pStyle w:val="100"/>
              <w:ind w:left="0" w:leftChars="0" w:firstLine="0" w:firstLineChars="0"/>
              <w:jc w:val="both"/>
              <w:rPr>
                <w:b/>
                <w:bCs/>
                <w:highlight w:val="none"/>
              </w:rPr>
            </w:pPr>
            <w:r>
              <w:rPr>
                <w:b/>
                <w:bCs/>
                <w:highlight w:val="none"/>
              </w:rPr>
              <w:t xml:space="preserve">PTW mechanism </w:t>
            </w:r>
          </w:p>
          <w:p>
            <w:pPr>
              <w:pStyle w:val="100"/>
              <w:ind w:left="0" w:leftChars="0" w:firstLine="0" w:firstLineChars="0"/>
              <w:jc w:val="both"/>
              <w:rPr>
                <w:highlight w:val="none"/>
              </w:rPr>
            </w:pPr>
            <w:r>
              <w:rPr>
                <w:highlight w:val="none"/>
              </w:rPr>
              <w:t>Proposal 5: RAN2 to discuss following options to achieve the same PTW starting location, in case paging coincides in the same PH:</w:t>
            </w:r>
          </w:p>
          <w:p>
            <w:pPr>
              <w:pStyle w:val="100"/>
              <w:jc w:val="both"/>
              <w:rPr>
                <w:highlight w:val="none"/>
              </w:rPr>
            </w:pPr>
            <w:r>
              <w:rPr>
                <w:highlight w:val="none"/>
              </w:rPr>
              <w:t>-</w:t>
            </w:r>
            <w:r>
              <w:rPr>
                <w:highlight w:val="none"/>
              </w:rPr>
              <w:tab/>
            </w:r>
            <w:r>
              <w:rPr>
                <w:highlight w:val="none"/>
              </w:rPr>
              <w:t>Alt. 1: use both RAN PTW and CN PTW in overlapped PH (i.e. the PTW_start for RAN paging is re-defined as the PTW_start for CN paging);</w:t>
            </w:r>
          </w:p>
          <w:p>
            <w:pPr>
              <w:pStyle w:val="100"/>
              <w:jc w:val="both"/>
              <w:rPr>
                <w:highlight w:val="none"/>
              </w:rPr>
            </w:pPr>
            <w:r>
              <w:rPr>
                <w:highlight w:val="none"/>
              </w:rPr>
              <w:t>-</w:t>
            </w:r>
            <w:r>
              <w:rPr>
                <w:highlight w:val="none"/>
              </w:rPr>
              <w:tab/>
            </w:r>
            <w:r>
              <w:rPr>
                <w:highlight w:val="none"/>
              </w:rPr>
              <w:t>Alt.2: only use the CN PTW in overlapped PH (i.e. both the PTW_start and PTW_end for RAN paging are same as CN paging).</w:t>
            </w:r>
          </w:p>
          <w:p>
            <w:pPr>
              <w:pStyle w:val="100"/>
              <w:ind w:left="0" w:leftChars="0" w:firstLine="0" w:firstLineChars="0"/>
              <w:jc w:val="both"/>
              <w:rPr>
                <w:highlight w:val="none"/>
              </w:rPr>
            </w:pPr>
            <w:r>
              <w:rPr>
                <w:highlight w:val="none"/>
              </w:rPr>
              <w:t>Proposal 6a: For the UE in RRC_INACTIVE configured with both IDLE and IANCTIVE eDRX cycle longer than 10.24s, it should monitor both CN and RAN paging in the PTW(s) of the overlapped PH.</w:t>
            </w:r>
          </w:p>
          <w:p>
            <w:pPr>
              <w:pStyle w:val="100"/>
              <w:ind w:left="0" w:leftChars="0" w:firstLine="0" w:firstLineChars="0"/>
              <w:jc w:val="both"/>
              <w:rPr>
                <w:highlight w:val="none"/>
              </w:rPr>
            </w:pPr>
            <w:r>
              <w:rPr>
                <w:highlight w:val="none"/>
              </w:rPr>
              <w:t>Proposal 6b: RAN2 to discuss following options on the T calculation in the overlapped PH:</w:t>
            </w:r>
          </w:p>
          <w:p>
            <w:pPr>
              <w:pStyle w:val="100"/>
              <w:jc w:val="both"/>
              <w:rPr>
                <w:highlight w:val="none"/>
              </w:rPr>
            </w:pPr>
            <w:r>
              <w:rPr>
                <w:highlight w:val="none"/>
              </w:rPr>
              <w:t>-</w:t>
            </w:r>
            <w:r>
              <w:rPr>
                <w:highlight w:val="none"/>
              </w:rPr>
              <w:tab/>
            </w:r>
            <w:r>
              <w:rPr>
                <w:highlight w:val="none"/>
              </w:rPr>
              <w:t xml:space="preserve">Option 1 (if Alt. 1 in Proposal 5 is adopted): </w:t>
            </w:r>
          </w:p>
          <w:p>
            <w:pPr>
              <w:pStyle w:val="100"/>
              <w:jc w:val="both"/>
              <w:rPr>
                <w:highlight w:val="none"/>
              </w:rPr>
            </w:pPr>
            <w:r>
              <w:rPr>
                <w:highlight w:val="none"/>
              </w:rPr>
              <w:t>During the overlapped PTW part: T=min{UE specific DRX value if configured by upper layers, UE specific DRX value if configured by RRC, default DRX value broadcast in system information}.</w:t>
            </w:r>
          </w:p>
          <w:p>
            <w:pPr>
              <w:pStyle w:val="100"/>
              <w:jc w:val="both"/>
              <w:rPr>
                <w:highlight w:val="none"/>
              </w:rPr>
            </w:pPr>
            <w:r>
              <w:rPr>
                <w:highlight w:val="none"/>
              </w:rPr>
              <w:t>During the non-overlapped PTW part: if the RAN PTW is longer, T=min{UE specific DRX value if configured by RRC, default DRX value broadcast in system information}; If the CN PTW is longer, T=min{UE specific DRX value if configured by upper layer, default DRX value broadcast in system information}.</w:t>
            </w:r>
          </w:p>
          <w:p>
            <w:pPr>
              <w:pStyle w:val="100"/>
              <w:jc w:val="both"/>
              <w:rPr>
                <w:highlight w:val="none"/>
              </w:rPr>
            </w:pPr>
            <w:r>
              <w:rPr>
                <w:highlight w:val="none"/>
              </w:rPr>
              <w:t>-</w:t>
            </w:r>
            <w:r>
              <w:rPr>
                <w:highlight w:val="none"/>
              </w:rPr>
              <w:tab/>
            </w:r>
            <w:r>
              <w:rPr>
                <w:highlight w:val="none"/>
              </w:rPr>
              <w:t xml:space="preserve">Option 2 (if Alt. 2 in Proposal 5 is adopted): </w:t>
            </w:r>
          </w:p>
          <w:p>
            <w:pPr>
              <w:spacing w:line="240" w:lineRule="auto"/>
              <w:ind w:left="1440" w:right="-99" w:hanging="360"/>
              <w:jc w:val="both"/>
              <w:rPr>
                <w:highlight w:val="none"/>
              </w:rPr>
            </w:pPr>
            <w:r>
              <w:rPr>
                <w:highlight w:val="none"/>
              </w:rPr>
              <w:t xml:space="preserve">During the PTW: T=min{UE specific DRX value if configured by upper layers, UE specific DRX value if configured by RRC, default DRX value broadcast in system information}. </w:t>
            </w:r>
          </w:p>
          <w:p>
            <w:pPr>
              <w:pStyle w:val="100"/>
              <w:ind w:left="0" w:leftChars="0" w:firstLine="0" w:firstLineChars="0"/>
              <w:rPr>
                <w:b/>
                <w:bCs/>
                <w:highlight w:val="none"/>
              </w:rPr>
            </w:pPr>
            <w:r>
              <w:rPr>
                <w:b/>
                <w:bCs/>
                <w:highlight w:val="none"/>
              </w:rPr>
              <w:t xml:space="preserve">NW indication </w:t>
            </w:r>
          </w:p>
          <w:p>
            <w:pPr>
              <w:pStyle w:val="113"/>
              <w:overflowPunct/>
              <w:autoSpaceDE/>
              <w:autoSpaceDN/>
              <w:adjustRightInd/>
              <w:ind w:left="1619" w:hanging="360"/>
              <w:textAlignment w:val="auto"/>
              <w:rPr>
                <w:highlight w:val="none"/>
              </w:rPr>
            </w:pPr>
            <w:r>
              <w:rPr>
                <w:highlight w:val="yellow"/>
              </w:rPr>
              <w:t>FFS if/how to fallback for a UE which is configured with R18 eDRX but the gNB doesn’t indicate support for this.</w:t>
            </w:r>
          </w:p>
        </w:tc>
      </w:tr>
    </w:tbl>
    <w:p>
      <w:pPr>
        <w:spacing w:after="120" w:line="240" w:lineRule="auto"/>
        <w:rPr>
          <w:sz w:val="21"/>
          <w:lang w:val="en-GB"/>
        </w:rPr>
      </w:pPr>
    </w:p>
    <w:p>
      <w:pPr>
        <w:spacing w:after="120" w:line="240" w:lineRule="auto"/>
        <w:rPr>
          <w:sz w:val="20"/>
          <w:lang w:val="en-GB"/>
        </w:rPr>
      </w:pPr>
      <w:r>
        <w:rPr>
          <w:sz w:val="21"/>
          <w:lang w:val="en-GB"/>
        </w:rPr>
        <w:t xml:space="preserve">In this paper, we will </w:t>
      </w:r>
      <w:r>
        <w:rPr>
          <w:rFonts w:hint="eastAsia"/>
          <w:sz w:val="21"/>
          <w:lang w:val="en-US" w:eastAsia="zh-CN"/>
        </w:rPr>
        <w:t xml:space="preserve">further </w:t>
      </w:r>
      <w:r>
        <w:rPr>
          <w:sz w:val="21"/>
          <w:lang w:val="en-GB"/>
        </w:rPr>
        <w:t>discuss some INACTIVE eDRX related issues for RedCap UEs.</w:t>
      </w:r>
    </w:p>
    <w:p>
      <w:pPr>
        <w:pStyle w:val="2"/>
        <w:numPr>
          <w:ilvl w:val="0"/>
          <w:numId w:val="5"/>
        </w:numPr>
        <w:pBdr>
          <w:top w:val="single" w:color="auto" w:sz="12" w:space="4"/>
        </w:pBdr>
      </w:pPr>
      <w:r>
        <w:t>Discussion</w:t>
      </w:r>
      <w:bookmarkStart w:id="1" w:name="OLE_LINK139"/>
      <w:bookmarkStart w:id="2" w:name="OLE_LINK140"/>
    </w:p>
    <w:p>
      <w:pPr>
        <w:pStyle w:val="3"/>
        <w:numPr>
          <w:ilvl w:val="1"/>
          <w:numId w:val="5"/>
        </w:numPr>
        <w:spacing w:after="240"/>
        <w:rPr>
          <w:rFonts w:cs="Arial"/>
        </w:rPr>
      </w:pPr>
      <w:r>
        <w:rPr>
          <w:rFonts w:cs="Arial"/>
        </w:rPr>
        <w:t xml:space="preserve">PTW mechanism </w:t>
      </w:r>
    </w:p>
    <w:p>
      <w:pPr>
        <w:rPr>
          <w:rFonts w:hint="eastAsia" w:ascii="Times New Roman" w:hAnsi="Times New Roman" w:cs="Times New Roman"/>
          <w:sz w:val="21"/>
          <w:lang w:val="en-US" w:eastAsia="zh-CN"/>
        </w:rPr>
      </w:pPr>
      <w:r>
        <w:rPr>
          <w:sz w:val="21"/>
        </w:rPr>
        <w:t>When</w:t>
      </w:r>
      <w:r>
        <w:rPr>
          <w:sz w:val="21"/>
          <w:lang w:val="en-GB"/>
        </w:rPr>
        <w:t xml:space="preserve"> enhanced INACTIVE eDRX</w:t>
      </w:r>
      <w:r>
        <w:rPr>
          <w:sz w:val="21"/>
        </w:rPr>
        <w:t xml:space="preserve"> (&gt; 10.24s)</w:t>
      </w:r>
      <w:r>
        <w:rPr>
          <w:rFonts w:hint="eastAsia"/>
          <w:sz w:val="21"/>
          <w:lang w:val="en-US" w:eastAsia="zh-CN"/>
        </w:rPr>
        <w:t xml:space="preserve"> is introduced</w:t>
      </w:r>
      <w:r>
        <w:rPr>
          <w:sz w:val="21"/>
        </w:rPr>
        <w:t xml:space="preserve">, there may be a case wherein a RRC_INACTIVE UE is configured with </w:t>
      </w:r>
      <w:r>
        <w:rPr>
          <w:rFonts w:hint="eastAsia"/>
          <w:sz w:val="21"/>
          <w:lang w:val="en-US" w:eastAsia="zh-CN"/>
        </w:rPr>
        <w:t>different</w:t>
      </w:r>
      <w:r>
        <w:rPr>
          <w:sz w:val="21"/>
        </w:rPr>
        <w:t xml:space="preserve"> eDRX </w:t>
      </w:r>
      <w:r>
        <w:rPr>
          <w:rFonts w:hint="eastAsia"/>
          <w:sz w:val="21"/>
          <w:lang w:val="en-US" w:eastAsia="zh-CN"/>
        </w:rPr>
        <w:t>cycle in INACTIVE</w:t>
      </w:r>
      <w:r>
        <w:rPr>
          <w:sz w:val="21"/>
        </w:rPr>
        <w:t xml:space="preserve"> and IDLE </w:t>
      </w:r>
      <w:r>
        <w:rPr>
          <w:rFonts w:hint="eastAsia"/>
          <w:sz w:val="21"/>
          <w:lang w:val="en-US" w:eastAsia="zh-CN"/>
        </w:rPr>
        <w:t>state</w:t>
      </w:r>
      <w:r>
        <w:rPr>
          <w:sz w:val="21"/>
        </w:rPr>
        <w:t xml:space="preserve">. </w:t>
      </w:r>
      <w:r>
        <w:rPr>
          <w:rFonts w:hint="eastAsia"/>
          <w:sz w:val="21"/>
          <w:lang w:val="en-US" w:eastAsia="zh-CN"/>
        </w:rPr>
        <w:t>The differences between</w:t>
      </w:r>
      <w:r>
        <w:rPr>
          <w:sz w:val="21"/>
        </w:rPr>
        <w:t xml:space="preserve"> </w:t>
      </w:r>
      <w:r>
        <w:rPr>
          <w:sz w:val="21"/>
          <w:lang w:val="en-GB"/>
        </w:rPr>
        <w:t>T</w:t>
      </w:r>
      <w:r>
        <w:rPr>
          <w:sz w:val="21"/>
          <w:vertAlign w:val="subscript"/>
          <w:lang w:val="en-GB"/>
        </w:rPr>
        <w:t>eDRX_RAN</w:t>
      </w:r>
      <w:r>
        <w:rPr>
          <w:rFonts w:hint="eastAsia"/>
          <w:sz w:val="21"/>
          <w:vertAlign w:val="subscript"/>
          <w:lang w:val="en-US" w:eastAsia="zh-CN"/>
        </w:rPr>
        <w:t xml:space="preserve"> </w:t>
      </w:r>
      <w:r>
        <w:rPr>
          <w:rFonts w:hint="eastAsia" w:ascii="Times New Roman" w:hAnsi="Times New Roman" w:cs="Times New Roman"/>
          <w:sz w:val="21"/>
          <w:lang w:val="en-US" w:eastAsia="zh-CN"/>
        </w:rPr>
        <w:t>and</w:t>
      </w:r>
      <w:r>
        <w:rPr>
          <w:rFonts w:hint="eastAsia" w:ascii="Times New Roman" w:hAnsi="Times New Roman" w:cs="Times New Roman"/>
          <w:sz w:val="21"/>
          <w:lang w:val="en-GB" w:eastAsia="zh-CN"/>
        </w:rPr>
        <w:t xml:space="preserve"> </w:t>
      </w:r>
      <w:r>
        <w:rPr>
          <w:rFonts w:ascii="Times New Roman" w:hAnsi="Times New Roman" w:cs="Times New Roman"/>
          <w:sz w:val="21"/>
          <w:lang w:val="en-GB"/>
        </w:rPr>
        <w:t xml:space="preserve">TeDRX_CN may </w:t>
      </w:r>
      <w:r>
        <w:rPr>
          <w:rFonts w:hint="eastAsia" w:ascii="Times New Roman" w:hAnsi="Times New Roman" w:cs="Times New Roman"/>
          <w:sz w:val="21"/>
          <w:lang w:val="en-US" w:eastAsia="zh-CN"/>
        </w:rPr>
        <w:t>lead to different</w:t>
      </w:r>
      <w:r>
        <w:rPr>
          <w:rFonts w:ascii="Times New Roman" w:hAnsi="Times New Roman" w:cs="Times New Roman"/>
          <w:sz w:val="21"/>
          <w:lang w:val="en-GB"/>
        </w:rPr>
        <w:t xml:space="preserve"> PTW starting locations.</w:t>
      </w:r>
      <w:r>
        <w:rPr>
          <w:rFonts w:hint="eastAsia" w:ascii="Times New Roman" w:hAnsi="Times New Roman" w:cs="Times New Roman"/>
          <w:sz w:val="21"/>
          <w:lang w:val="en-US" w:eastAsia="zh-CN"/>
        </w:rPr>
        <w:t xml:space="preserve"> </w:t>
      </w:r>
    </w:p>
    <w:p>
      <w:pPr>
        <w:rPr>
          <w:rFonts w:ascii="Times New Roman" w:hAnsi="Times New Roman" w:cs="Times New Roman"/>
          <w:sz w:val="21"/>
        </w:rPr>
      </w:pPr>
      <w:r>
        <w:rPr>
          <w:rFonts w:hint="eastAsia" w:ascii="Times New Roman" w:hAnsi="Times New Roman" w:cs="Times New Roman"/>
          <w:sz w:val="21"/>
          <w:lang w:val="en-US" w:eastAsia="zh-CN"/>
        </w:rPr>
        <w:t xml:space="preserve">In RAN2#121 meeting, RAN2 confirms that when RAN and CN paging coincide in the same PH, the actually used PTW starting location is the same for RAN and CN paging. Therefore, two options were proposed to </w:t>
      </w:r>
      <w:r>
        <w:rPr>
          <w:rFonts w:ascii="Times New Roman" w:hAnsi="Times New Roman" w:cs="Times New Roman"/>
          <w:sz w:val="21"/>
          <w:lang w:val="en-GB" w:eastAsia="zh-CN"/>
        </w:rPr>
        <w:t>achieve the same PTW starting location, in case of paging coincide in the same PH.</w:t>
      </w:r>
    </w:p>
    <w:p>
      <w:pPr>
        <w:rPr>
          <w:rFonts w:hint="default" w:ascii="Times New Roman" w:hAnsi="Times New Roman" w:cs="Times New Roman"/>
          <w:sz w:val="21"/>
          <w:lang w:val="en-US" w:eastAsia="zh-CN"/>
        </w:rPr>
      </w:pPr>
      <w:r>
        <w:rPr>
          <w:rFonts w:hint="eastAsia" w:ascii="Times New Roman" w:hAnsi="Times New Roman" w:cs="Times New Roman"/>
          <w:sz w:val="21"/>
          <w:lang w:val="en-US" w:eastAsia="zh-CN"/>
        </w:rPr>
        <w:t xml:space="preserve">The first option is to configure a unified </w:t>
      </w:r>
      <w:r>
        <w:rPr>
          <w:rFonts w:hint="eastAsia" w:ascii="Times New Roman" w:hAnsi="Times New Roman" w:cs="Times New Roman"/>
          <w:sz w:val="21"/>
          <w:lang w:val="en-GB" w:eastAsia="zh-CN"/>
        </w:rPr>
        <w:t xml:space="preserve">eDRX cycle </w:t>
      </w:r>
      <w:r>
        <w:rPr>
          <w:rFonts w:hint="eastAsia" w:ascii="Times New Roman" w:hAnsi="Times New Roman" w:cs="Times New Roman"/>
          <w:sz w:val="21"/>
          <w:lang w:val="en-US" w:eastAsia="zh-CN"/>
        </w:rPr>
        <w:t xml:space="preserve">to ensure the same </w:t>
      </w:r>
      <w:r>
        <w:rPr>
          <w:rFonts w:hint="eastAsia" w:ascii="Times New Roman" w:hAnsi="Times New Roman" w:cs="Times New Roman"/>
          <w:sz w:val="21"/>
          <w:lang w:val="en-GB" w:eastAsia="zh-CN"/>
        </w:rPr>
        <w:t>PTW starting locations.</w:t>
      </w:r>
      <w:r>
        <w:rPr>
          <w:rFonts w:hint="eastAsia" w:ascii="Times New Roman" w:hAnsi="Times New Roman" w:cs="Times New Roman"/>
          <w:sz w:val="21"/>
          <w:lang w:val="en-US" w:eastAsia="zh-CN"/>
        </w:rPr>
        <w:t xml:space="preserve"> </w:t>
      </w:r>
      <w:r>
        <w:rPr>
          <w:rFonts w:ascii="Times New Roman" w:hAnsi="Times New Roman" w:cs="Times New Roman"/>
          <w:sz w:val="21"/>
          <w:lang w:val="en-GB"/>
        </w:rPr>
        <w:t xml:space="preserve">In this case, there are RAN configured PTW and CN configured PTW to be used in overlapped PH, </w:t>
      </w:r>
      <w:r>
        <w:rPr>
          <w:rFonts w:hint="eastAsia" w:ascii="Times New Roman" w:hAnsi="Times New Roman" w:cs="Times New Roman"/>
          <w:sz w:val="21"/>
          <w:lang w:val="en-US" w:eastAsia="zh-CN"/>
        </w:rPr>
        <w:t>which are the same</w:t>
      </w:r>
      <w:r>
        <w:rPr>
          <w:rFonts w:ascii="Times New Roman" w:hAnsi="Times New Roman" w:cs="Times New Roman"/>
          <w:sz w:val="21"/>
          <w:lang w:val="en-GB"/>
        </w:rPr>
        <w:t>.</w:t>
      </w:r>
      <w:r>
        <w:rPr>
          <w:rFonts w:hint="eastAsia" w:ascii="Times New Roman" w:hAnsi="Times New Roman" w:cs="Times New Roman"/>
          <w:sz w:val="21"/>
          <w:lang w:val="en-US" w:eastAsia="zh-CN"/>
        </w:rPr>
        <w:t xml:space="preserve"> However, </w:t>
      </w:r>
      <w:r>
        <w:rPr>
          <w:rFonts w:ascii="Times New Roman" w:hAnsi="Times New Roman" w:cs="Times New Roman"/>
          <w:sz w:val="21"/>
        </w:rPr>
        <w:t xml:space="preserve"> eDRX </w:t>
      </w:r>
      <w:r>
        <w:rPr>
          <w:rFonts w:hint="eastAsia" w:ascii="Times New Roman" w:hAnsi="Times New Roman" w:cs="Times New Roman"/>
          <w:sz w:val="21"/>
          <w:lang w:val="en-US" w:eastAsia="zh-CN"/>
        </w:rPr>
        <w:t>cycle in</w:t>
      </w:r>
      <w:r>
        <w:rPr>
          <w:rFonts w:ascii="Times New Roman" w:hAnsi="Times New Roman" w:cs="Times New Roman"/>
          <w:sz w:val="21"/>
        </w:rPr>
        <w:t xml:space="preserve"> </w:t>
      </w:r>
      <w:r>
        <w:rPr>
          <w:rFonts w:hint="eastAsia" w:ascii="Times New Roman" w:hAnsi="Times New Roman" w:cs="Times New Roman"/>
          <w:sz w:val="21"/>
          <w:lang w:val="en-US" w:eastAsia="zh-CN"/>
        </w:rPr>
        <w:t>RRC_</w:t>
      </w:r>
      <w:r>
        <w:rPr>
          <w:rFonts w:ascii="Times New Roman" w:hAnsi="Times New Roman" w:cs="Times New Roman"/>
          <w:sz w:val="21"/>
        </w:rPr>
        <w:t>IDLE</w:t>
      </w:r>
      <w:r>
        <w:rPr>
          <w:rFonts w:hint="eastAsia" w:ascii="Times New Roman" w:hAnsi="Times New Roman" w:cs="Times New Roman"/>
          <w:sz w:val="21"/>
          <w:lang w:val="en-US" w:eastAsia="zh-CN"/>
        </w:rPr>
        <w:t xml:space="preserve"> may be larger than </w:t>
      </w:r>
      <w:r>
        <w:rPr>
          <w:rFonts w:ascii="Times New Roman" w:hAnsi="Times New Roman" w:cs="Times New Roman"/>
          <w:sz w:val="21"/>
        </w:rPr>
        <w:t xml:space="preserve">eDRX </w:t>
      </w:r>
      <w:r>
        <w:rPr>
          <w:rFonts w:hint="eastAsia" w:ascii="Times New Roman" w:hAnsi="Times New Roman" w:cs="Times New Roman"/>
          <w:sz w:val="21"/>
          <w:lang w:val="en-US" w:eastAsia="zh-CN"/>
        </w:rPr>
        <w:t>cycle in</w:t>
      </w:r>
      <w:r>
        <w:rPr>
          <w:rFonts w:ascii="Times New Roman" w:hAnsi="Times New Roman" w:cs="Times New Roman"/>
          <w:sz w:val="21"/>
        </w:rPr>
        <w:t xml:space="preserve"> </w:t>
      </w:r>
      <w:r>
        <w:rPr>
          <w:rFonts w:hint="eastAsia" w:ascii="Times New Roman" w:hAnsi="Times New Roman" w:cs="Times New Roman"/>
          <w:sz w:val="21"/>
          <w:lang w:val="en-US" w:eastAsia="zh-CN"/>
        </w:rPr>
        <w:t>RRC_INACTIVE,</w:t>
      </w:r>
      <w:r>
        <w:rPr>
          <w:rFonts w:ascii="Times New Roman" w:hAnsi="Times New Roman" w:cs="Times New Roman"/>
          <w:sz w:val="21"/>
        </w:rPr>
        <w:t xml:space="preserve"> and</w:t>
      </w:r>
      <w:r>
        <w:rPr>
          <w:rFonts w:hint="eastAsia" w:ascii="Times New Roman" w:hAnsi="Times New Roman" w:cs="Times New Roman"/>
          <w:sz w:val="21"/>
          <w:lang w:val="en-US" w:eastAsia="zh-CN"/>
        </w:rPr>
        <w:t xml:space="preserve"> different configuration of </w:t>
      </w:r>
      <w:r>
        <w:rPr>
          <w:rFonts w:ascii="Times New Roman" w:hAnsi="Times New Roman" w:cs="Times New Roman"/>
          <w:sz w:val="21"/>
        </w:rPr>
        <w:t xml:space="preserve">eDRX </w:t>
      </w:r>
      <w:r>
        <w:rPr>
          <w:rFonts w:hint="eastAsia" w:ascii="Times New Roman" w:hAnsi="Times New Roman" w:cs="Times New Roman"/>
          <w:sz w:val="21"/>
          <w:lang w:val="en-US" w:eastAsia="zh-CN"/>
        </w:rPr>
        <w:t>cycle in INACTIVE</w:t>
      </w:r>
      <w:r>
        <w:rPr>
          <w:rFonts w:ascii="Times New Roman" w:hAnsi="Times New Roman" w:cs="Times New Roman"/>
          <w:sz w:val="21"/>
        </w:rPr>
        <w:t xml:space="preserve"> and IDLE </w:t>
      </w:r>
      <w:r>
        <w:rPr>
          <w:rFonts w:hint="eastAsia" w:ascii="Times New Roman" w:hAnsi="Times New Roman" w:cs="Times New Roman"/>
          <w:sz w:val="21"/>
          <w:lang w:val="en-US" w:eastAsia="zh-CN"/>
        </w:rPr>
        <w:t>state is more flexible to different scenarios.</w:t>
      </w:r>
    </w:p>
    <w:p>
      <w:pPr>
        <w:rPr>
          <w:sz w:val="21"/>
          <w:lang w:val="en-GB"/>
        </w:rPr>
      </w:pPr>
      <w:r>
        <w:rPr>
          <w:sz w:val="21"/>
          <w:lang w:val="en-GB"/>
        </w:rPr>
        <w:t xml:space="preserve">Another way is </w:t>
      </w:r>
      <w:r>
        <w:rPr>
          <w:rFonts w:hint="eastAsia"/>
          <w:sz w:val="21"/>
          <w:lang w:val="en-US" w:eastAsia="zh-CN"/>
        </w:rPr>
        <w:t>to use</w:t>
      </w:r>
      <w:r>
        <w:rPr>
          <w:sz w:val="21"/>
          <w:lang w:val="en-GB"/>
        </w:rPr>
        <w:t xml:space="preserve"> CN configured PTW for paging reception in overlapped PH. As the UE in any case is required to monitor CN paging to avoid state mismatch, UE follow</w:t>
      </w:r>
      <w:r>
        <w:rPr>
          <w:rFonts w:hint="eastAsia"/>
          <w:sz w:val="21"/>
          <w:lang w:val="en-US" w:eastAsia="zh-CN"/>
        </w:rPr>
        <w:t>ing</w:t>
      </w:r>
      <w:r>
        <w:rPr>
          <w:sz w:val="21"/>
          <w:lang w:val="en-GB"/>
        </w:rPr>
        <w:t xml:space="preserve"> the CN configured PTW in overlapped PH for monitoring paging for both CN paging and RAN paging</w:t>
      </w:r>
      <w:r>
        <w:rPr>
          <w:rFonts w:hint="eastAsia"/>
          <w:sz w:val="21"/>
          <w:lang w:val="en-US" w:eastAsia="zh-CN"/>
        </w:rPr>
        <w:t xml:space="preserve"> have no extra overhead for UE</w:t>
      </w:r>
      <w:r>
        <w:rPr>
          <w:sz w:val="21"/>
          <w:lang w:val="en-GB"/>
        </w:rPr>
        <w:t xml:space="preserve">. </w:t>
      </w:r>
      <w:r>
        <w:rPr>
          <w:rFonts w:ascii="Times New Roman" w:hAnsi="Times New Roman" w:cs="Times New Roman"/>
          <w:sz w:val="21"/>
          <w:lang w:val="en-GB"/>
        </w:rPr>
        <w:t xml:space="preserve">And the gNB sends RAN paging in CN configured PTW. </w:t>
      </w:r>
      <w:r>
        <w:rPr>
          <w:sz w:val="21"/>
          <w:lang w:val="en-GB"/>
        </w:rPr>
        <w:t>In this case, the UE in RRC_INACTIVE uses both the same PTW_start and PTW_end, that is the CN configured PTW.</w:t>
      </w:r>
    </w:p>
    <w:p>
      <w:pPr>
        <w:pStyle w:val="110"/>
        <w:numPr>
          <w:ilvl w:val="0"/>
          <w:numId w:val="0"/>
        </w:numPr>
        <w:ind w:leftChars="0"/>
        <w:rPr>
          <w:sz w:val="21"/>
        </w:rPr>
      </w:pPr>
      <w:r>
        <w:rPr>
          <w:rFonts w:eastAsia="MS Gothic"/>
          <w:b/>
          <w:bCs/>
          <w:sz w:val="21"/>
          <w:szCs w:val="22"/>
          <w:lang w:eastAsia="ja-JP"/>
        </w:rPr>
        <w:t xml:space="preserve">Proposal </w:t>
      </w:r>
      <w:r>
        <w:rPr>
          <w:rFonts w:hint="eastAsia"/>
          <w:b/>
          <w:bCs/>
          <w:sz w:val="21"/>
          <w:szCs w:val="22"/>
          <w:lang w:val="en-US" w:eastAsia="zh-CN"/>
        </w:rPr>
        <w:t>1</w:t>
      </w:r>
      <w:r>
        <w:rPr>
          <w:rFonts w:eastAsia="MS Gothic"/>
          <w:b/>
          <w:bCs/>
          <w:sz w:val="21"/>
          <w:szCs w:val="22"/>
          <w:lang w:eastAsia="ja-JP"/>
        </w:rPr>
        <w:t xml:space="preserve">: </w:t>
      </w:r>
      <w:r>
        <w:rPr>
          <w:rFonts w:hint="eastAsia" w:eastAsia="宋体"/>
          <w:b/>
          <w:bCs/>
          <w:sz w:val="21"/>
          <w:szCs w:val="22"/>
          <w:lang w:val="en-US" w:eastAsia="zh-CN"/>
        </w:rPr>
        <w:t xml:space="preserve">When </w:t>
      </w:r>
      <w:r>
        <w:rPr>
          <w:rFonts w:cs="Times New Roman"/>
          <w:b/>
          <w:sz w:val="21"/>
        </w:rPr>
        <w:t>paging coincides in the same PH</w:t>
      </w:r>
      <w:r>
        <w:rPr>
          <w:rFonts w:hint="eastAsia" w:cs="Times New Roman"/>
          <w:b/>
          <w:sz w:val="21"/>
          <w:lang w:val="en-US" w:eastAsia="zh-CN"/>
        </w:rPr>
        <w:t xml:space="preserve">, </w:t>
      </w:r>
      <w:r>
        <w:rPr>
          <w:b/>
          <w:sz w:val="21"/>
        </w:rPr>
        <w:t>use the CN PTW in overlapped PH.</w:t>
      </w:r>
    </w:p>
    <w:p>
      <w:pPr>
        <w:rPr>
          <w:rFonts w:ascii="Times New Roman" w:hAnsi="Times New Roman" w:cs="Times New Roman"/>
          <w:sz w:val="21"/>
        </w:rPr>
      </w:pPr>
      <w:r>
        <w:rPr>
          <w:rFonts w:ascii="Times New Roman" w:hAnsi="Times New Roman" w:cs="Times New Roman"/>
          <w:sz w:val="21"/>
        </w:rPr>
        <w:t xml:space="preserve">To avoid the potential state mismatch, the INACTIVE UE is required to monitor both CN and RAN paging. </w:t>
      </w:r>
      <w:r>
        <w:rPr>
          <w:rFonts w:eastAsia="MS Mincho"/>
          <w:sz w:val="21"/>
          <w:lang w:eastAsia="ko-KR"/>
        </w:rPr>
        <w:t xml:space="preserve">The same principle </w:t>
      </w:r>
      <w:r>
        <w:rPr>
          <w:rFonts w:hint="eastAsia"/>
          <w:sz w:val="21"/>
          <w:lang w:val="en-US" w:eastAsia="zh-CN"/>
        </w:rPr>
        <w:t xml:space="preserve">in current TS 38.304 </w:t>
      </w:r>
      <w:r>
        <w:rPr>
          <w:rFonts w:eastAsia="MS Mincho"/>
          <w:sz w:val="21"/>
          <w:lang w:eastAsia="ko-KR"/>
        </w:rPr>
        <w:t>shall be also applied in the case of overlapped PH</w:t>
      </w:r>
      <w:r>
        <w:rPr>
          <w:rFonts w:hint="eastAsia"/>
          <w:sz w:val="21"/>
          <w:lang w:val="en-US" w:eastAsia="zh-CN"/>
        </w:rPr>
        <w:t xml:space="preserve">. That is, </w:t>
      </w:r>
      <w:r>
        <w:rPr>
          <w:rFonts w:hint="eastAsia" w:ascii="Times New Roman" w:hAnsi="Times New Roman" w:cs="Times New Roman"/>
          <w:sz w:val="21"/>
          <w:lang w:val="en-US" w:eastAsia="zh-CN"/>
        </w:rPr>
        <w:t>i</w:t>
      </w:r>
      <w:r>
        <w:rPr>
          <w:rFonts w:ascii="Times New Roman" w:hAnsi="Times New Roman" w:cs="Times New Roman"/>
          <w:sz w:val="21"/>
        </w:rPr>
        <w:t xml:space="preserve">f a </w:t>
      </w:r>
      <w:r>
        <w:rPr>
          <w:rFonts w:ascii="Times New Roman" w:hAnsi="Times New Roman" w:cs="Times New Roman"/>
          <w:sz w:val="21"/>
          <w:lang w:eastAsia="ko-KR"/>
        </w:rPr>
        <w:t>unified PTW is used,</w:t>
      </w:r>
      <w:r>
        <w:rPr>
          <w:rFonts w:ascii="Times New Roman" w:hAnsi="Times New Roman" w:cs="Times New Roman"/>
          <w:sz w:val="21"/>
        </w:rPr>
        <w:t xml:space="preserve"> T is determined by the shortest of the UE specific DRX value (s), if configured by RRC and/or upper layers, and a default DRX value broadcast in system information.</w:t>
      </w:r>
    </w:p>
    <w:p>
      <w:pPr>
        <w:pStyle w:val="110"/>
        <w:numPr>
          <w:ilvl w:val="0"/>
          <w:numId w:val="0"/>
        </w:numPr>
        <w:ind w:leftChars="0"/>
        <w:rPr>
          <w:b/>
          <w:sz w:val="21"/>
        </w:rPr>
      </w:pPr>
      <w:r>
        <w:rPr>
          <w:rFonts w:eastAsia="MS Gothic"/>
          <w:b/>
          <w:bCs/>
          <w:sz w:val="21"/>
          <w:szCs w:val="22"/>
          <w:lang w:eastAsia="ja-JP"/>
        </w:rPr>
        <w:t xml:space="preserve">Proposal </w:t>
      </w:r>
      <w:r>
        <w:rPr>
          <w:rFonts w:hint="eastAsia"/>
          <w:b/>
          <w:bCs/>
          <w:sz w:val="21"/>
          <w:szCs w:val="22"/>
          <w:lang w:val="en-US" w:eastAsia="zh-CN"/>
        </w:rPr>
        <w:t>2</w:t>
      </w:r>
      <w:r>
        <w:rPr>
          <w:rFonts w:eastAsia="MS Gothic"/>
          <w:b/>
          <w:bCs/>
          <w:sz w:val="21"/>
          <w:szCs w:val="22"/>
          <w:lang w:eastAsia="ja-JP"/>
        </w:rPr>
        <w:t xml:space="preserve">: </w:t>
      </w:r>
      <w:r>
        <w:rPr>
          <w:b/>
          <w:sz w:val="21"/>
        </w:rPr>
        <w:t xml:space="preserve">During the PTW: T=min{UE specific DRX value if configured by upper layers, UE specific DRX value if configured by RRC, default DRX value broadcast in system information}. </w:t>
      </w:r>
    </w:p>
    <w:p>
      <w:pPr>
        <w:pStyle w:val="3"/>
        <w:numPr>
          <w:ilvl w:val="1"/>
          <w:numId w:val="5"/>
        </w:numPr>
        <w:spacing w:after="240"/>
        <w:rPr>
          <w:rFonts w:cs="Arial"/>
        </w:rPr>
      </w:pPr>
      <w:r>
        <w:rPr>
          <w:rFonts w:cs="Arial"/>
        </w:rPr>
        <w:t xml:space="preserve">NW indication </w:t>
      </w:r>
    </w:p>
    <w:p>
      <w:pPr>
        <w:rPr>
          <w:rFonts w:hint="default" w:ascii="Times New Roman" w:hAnsi="Times New Roman" w:eastAsia="宋体" w:cs="Times New Roman"/>
          <w:sz w:val="21"/>
          <w:lang w:val="en-US" w:eastAsia="zh-CN"/>
        </w:rPr>
      </w:pPr>
      <w:r>
        <w:rPr>
          <w:rFonts w:hint="eastAsia" w:ascii="Times New Roman" w:hAnsi="Times New Roman" w:cs="Times New Roman"/>
          <w:sz w:val="21"/>
          <w:lang w:val="en-US" w:eastAsia="zh-CN"/>
        </w:rPr>
        <w:t>RAN2#121 confirmed to i</w:t>
      </w:r>
      <w:r>
        <w:rPr>
          <w:rFonts w:ascii="Times New Roman" w:hAnsi="Times New Roman" w:cs="Times New Roman"/>
          <w:sz w:val="21"/>
          <w:lang w:val="en-US" w:eastAsia="zh-CN"/>
        </w:rPr>
        <w:t>ntroduce 1 bit indication in SIB1 whether UEs are allowed to use the enhanced INACTIVE eDRX cycle.</w:t>
      </w:r>
      <w:r>
        <w:rPr>
          <w:rFonts w:hint="eastAsia" w:ascii="Times New Roman" w:hAnsi="Times New Roman" w:cs="Times New Roman"/>
          <w:sz w:val="21"/>
          <w:lang w:val="en-US" w:eastAsia="zh-CN"/>
        </w:rPr>
        <w:t xml:space="preserve"> Then </w:t>
      </w:r>
      <w:r>
        <w:t>there are</w:t>
      </w:r>
      <w:r>
        <w:rPr>
          <w:rFonts w:hint="eastAsia"/>
          <w:lang w:val="en-US" w:eastAsia="zh-CN"/>
        </w:rPr>
        <w:t xml:space="preserve"> cell</w:t>
      </w:r>
      <w:r>
        <w:t>s of different releases</w:t>
      </w:r>
      <w:r>
        <w:rPr>
          <w:rFonts w:hint="eastAsia"/>
          <w:lang w:val="en-US" w:eastAsia="zh-CN"/>
        </w:rPr>
        <w:t xml:space="preserve"> that with and without indication of enhanced INACTIVE eDRX cycle</w:t>
      </w:r>
      <w:r>
        <w:t xml:space="preserve">. </w:t>
      </w:r>
      <w:r>
        <w:rPr>
          <w:rFonts w:hint="eastAsia"/>
          <w:lang w:val="en-US" w:eastAsia="zh-CN"/>
        </w:rPr>
        <w:t xml:space="preserve">When </w:t>
      </w:r>
      <w:r>
        <w:rPr>
          <w:rFonts w:hint="eastAsia" w:ascii="Times New Roman" w:hAnsi="Times New Roman" w:cs="Times New Roman"/>
          <w:sz w:val="21"/>
          <w:lang w:val="en-US" w:eastAsia="zh-CN"/>
        </w:rPr>
        <w:t xml:space="preserve">a R18 UE configured with </w:t>
      </w:r>
      <w:r>
        <w:rPr>
          <w:rFonts w:hint="eastAsia" w:ascii="Times New Roman" w:hAnsi="Times New Roman" w:cs="Times New Roman"/>
          <w:sz w:val="21"/>
          <w:lang w:val="en-GB" w:eastAsia="zh-CN"/>
        </w:rPr>
        <w:t>enhanced</w:t>
      </w:r>
      <w:r>
        <w:rPr>
          <w:rFonts w:hint="eastAsia" w:ascii="Times New Roman" w:hAnsi="Times New Roman" w:cs="Times New Roman"/>
          <w:sz w:val="21"/>
          <w:lang w:val="en-US" w:eastAsia="zh-CN"/>
        </w:rPr>
        <w:t xml:space="preserve"> INACTIVE eDRX enter into a cell without indication, it can not use the enhanced INACTIVE eDRX. However, the current cell may br</w:t>
      </w:r>
      <w:r>
        <w:rPr>
          <w:rFonts w:ascii="Times New Roman" w:hAnsi="Times New Roman" w:cs="Times New Roman"/>
          <w:sz w:val="21"/>
        </w:rPr>
        <w:t>oadcast a default DRX value</w:t>
      </w:r>
      <w:r>
        <w:rPr>
          <w:rFonts w:hint="eastAsia" w:ascii="Times New Roman" w:hAnsi="Times New Roman" w:cs="Times New Roman"/>
          <w:sz w:val="21"/>
          <w:lang w:val="en-US" w:eastAsia="zh-CN"/>
        </w:rPr>
        <w:t xml:space="preserve"> </w:t>
      </w:r>
      <w:r>
        <w:rPr>
          <w:rFonts w:ascii="Times New Roman" w:hAnsi="Times New Roman" w:cs="Times New Roman"/>
          <w:sz w:val="21"/>
        </w:rPr>
        <w:t>in system information</w:t>
      </w:r>
      <w:r>
        <w:rPr>
          <w:rFonts w:hint="eastAsia" w:ascii="Times New Roman" w:hAnsi="Times New Roman" w:cs="Times New Roman"/>
          <w:sz w:val="21"/>
          <w:lang w:val="en-US" w:eastAsia="zh-CN"/>
        </w:rPr>
        <w:t xml:space="preserve"> and supported eDRX, it is up to network implementation.</w:t>
      </w:r>
    </w:p>
    <w:p>
      <w:pPr>
        <w:rPr>
          <w:rFonts w:eastAsia="MS Gothic"/>
          <w:b/>
          <w:bCs/>
          <w:sz w:val="21"/>
          <w:szCs w:val="22"/>
          <w:highlight w:val="none"/>
          <w:lang w:eastAsia="ja-JP"/>
        </w:rPr>
      </w:pPr>
      <w:r>
        <w:rPr>
          <w:rFonts w:eastAsia="MS Gothic"/>
          <w:b/>
          <w:bCs/>
          <w:sz w:val="21"/>
          <w:szCs w:val="22"/>
          <w:highlight w:val="none"/>
          <w:lang w:eastAsia="ja-JP"/>
        </w:rPr>
        <w:t xml:space="preserve">Proposal </w:t>
      </w:r>
      <w:r>
        <w:rPr>
          <w:rFonts w:hint="eastAsia"/>
          <w:b/>
          <w:bCs/>
          <w:sz w:val="21"/>
          <w:szCs w:val="22"/>
          <w:highlight w:val="none"/>
          <w:lang w:val="en-US" w:eastAsia="zh-CN"/>
        </w:rPr>
        <w:t>3</w:t>
      </w:r>
      <w:r>
        <w:rPr>
          <w:rFonts w:eastAsia="MS Gothic"/>
          <w:b/>
          <w:bCs/>
          <w:sz w:val="21"/>
          <w:szCs w:val="22"/>
          <w:highlight w:val="none"/>
          <w:lang w:eastAsia="ja-JP"/>
        </w:rPr>
        <w:t xml:space="preserve">: </w:t>
      </w:r>
      <w:r>
        <w:rPr>
          <w:rFonts w:hint="eastAsia"/>
          <w:b/>
          <w:bCs/>
          <w:sz w:val="21"/>
          <w:szCs w:val="22"/>
          <w:highlight w:val="none"/>
          <w:lang w:val="en-US" w:eastAsia="zh-CN"/>
        </w:rPr>
        <w:t>Whether to configure</w:t>
      </w:r>
      <w:r>
        <w:rPr>
          <w:rFonts w:eastAsia="MS Gothic"/>
          <w:b/>
          <w:bCs/>
          <w:sz w:val="21"/>
          <w:szCs w:val="22"/>
          <w:highlight w:val="none"/>
          <w:lang w:eastAsia="ja-JP"/>
        </w:rPr>
        <w:t xml:space="preserve"> shorter eDRX </w:t>
      </w:r>
      <w:r>
        <w:rPr>
          <w:rFonts w:hint="eastAsia"/>
          <w:b/>
          <w:bCs/>
          <w:sz w:val="21"/>
          <w:szCs w:val="22"/>
          <w:highlight w:val="none"/>
          <w:lang w:val="en-US" w:eastAsia="zh-CN"/>
        </w:rPr>
        <w:t>or use the default DRX</w:t>
      </w:r>
      <w:r>
        <w:rPr>
          <w:rFonts w:eastAsia="MS Gothic"/>
          <w:b/>
          <w:bCs/>
          <w:sz w:val="21"/>
          <w:szCs w:val="22"/>
          <w:highlight w:val="none"/>
          <w:lang w:eastAsia="ja-JP"/>
        </w:rPr>
        <w:t xml:space="preserve"> is </w:t>
      </w:r>
      <w:r>
        <w:rPr>
          <w:rFonts w:hint="eastAsia"/>
          <w:b/>
          <w:bCs/>
          <w:sz w:val="21"/>
          <w:szCs w:val="22"/>
          <w:highlight w:val="none"/>
          <w:lang w:val="en-US" w:eastAsia="zh-CN"/>
        </w:rPr>
        <w:t>up to network implementation</w:t>
      </w:r>
      <w:r>
        <w:rPr>
          <w:rFonts w:eastAsia="MS Gothic"/>
          <w:b/>
          <w:bCs/>
          <w:sz w:val="21"/>
          <w:szCs w:val="22"/>
          <w:highlight w:val="none"/>
          <w:lang w:eastAsia="ja-JP"/>
        </w:rPr>
        <w:t>.</w:t>
      </w:r>
    </w:p>
    <w:bookmarkEnd w:id="1"/>
    <w:bookmarkEnd w:id="2"/>
    <w:p>
      <w:pPr>
        <w:pStyle w:val="2"/>
        <w:numPr>
          <w:ilvl w:val="0"/>
          <w:numId w:val="5"/>
        </w:numPr>
      </w:pPr>
      <w:r>
        <w:t>Conclusion</w:t>
      </w:r>
    </w:p>
    <w:p>
      <w:pPr>
        <w:spacing w:after="120" w:line="240" w:lineRule="auto"/>
        <w:rPr>
          <w:sz w:val="21"/>
          <w:lang w:val="en-GB" w:eastAsia="ja-JP"/>
        </w:rPr>
      </w:pPr>
      <w:r>
        <w:rPr>
          <w:sz w:val="21"/>
          <w:lang w:val="en-GB" w:eastAsia="ja-JP"/>
        </w:rPr>
        <w:t xml:space="preserve">The corresponding proposals are listed as below: </w:t>
      </w:r>
    </w:p>
    <w:p>
      <w:pPr>
        <w:pStyle w:val="110"/>
        <w:numPr>
          <w:ilvl w:val="0"/>
          <w:numId w:val="0"/>
        </w:numPr>
        <w:ind w:leftChars="0"/>
        <w:rPr>
          <w:sz w:val="21"/>
        </w:rPr>
      </w:pPr>
      <w:r>
        <w:rPr>
          <w:rFonts w:eastAsia="MS Gothic"/>
          <w:b/>
          <w:bCs/>
          <w:sz w:val="21"/>
          <w:szCs w:val="22"/>
          <w:lang w:eastAsia="ja-JP"/>
        </w:rPr>
        <w:t xml:space="preserve">Proposal </w:t>
      </w:r>
      <w:r>
        <w:rPr>
          <w:rFonts w:hint="eastAsia"/>
          <w:b/>
          <w:bCs/>
          <w:sz w:val="21"/>
          <w:szCs w:val="22"/>
          <w:lang w:val="en-US" w:eastAsia="zh-CN"/>
        </w:rPr>
        <w:t>1</w:t>
      </w:r>
      <w:r>
        <w:rPr>
          <w:rFonts w:eastAsia="MS Gothic"/>
          <w:b/>
          <w:bCs/>
          <w:sz w:val="21"/>
          <w:szCs w:val="22"/>
          <w:lang w:eastAsia="ja-JP"/>
        </w:rPr>
        <w:t xml:space="preserve">: </w:t>
      </w:r>
      <w:r>
        <w:rPr>
          <w:rFonts w:hint="eastAsia" w:eastAsia="宋体"/>
          <w:b/>
          <w:bCs/>
          <w:sz w:val="21"/>
          <w:szCs w:val="22"/>
          <w:lang w:val="en-US" w:eastAsia="zh-CN"/>
        </w:rPr>
        <w:t xml:space="preserve">When </w:t>
      </w:r>
      <w:r>
        <w:rPr>
          <w:rFonts w:cs="Times New Roman"/>
          <w:b/>
          <w:sz w:val="21"/>
        </w:rPr>
        <w:t>paging coincides in the same PH</w:t>
      </w:r>
      <w:r>
        <w:rPr>
          <w:rFonts w:hint="eastAsia" w:cs="Times New Roman"/>
          <w:b/>
          <w:sz w:val="21"/>
          <w:lang w:val="en-US" w:eastAsia="zh-CN"/>
        </w:rPr>
        <w:t xml:space="preserve">, </w:t>
      </w:r>
      <w:bookmarkStart w:id="3" w:name="_GoBack"/>
      <w:bookmarkEnd w:id="3"/>
      <w:r>
        <w:rPr>
          <w:b/>
          <w:sz w:val="21"/>
        </w:rPr>
        <w:t>use the CN PTW in overlapped PH.</w:t>
      </w:r>
    </w:p>
    <w:p>
      <w:pPr>
        <w:overflowPunct/>
        <w:autoSpaceDE/>
        <w:autoSpaceDN/>
        <w:adjustRightInd/>
        <w:spacing w:after="0" w:line="240" w:lineRule="auto"/>
        <w:jc w:val="left"/>
        <w:textAlignment w:val="auto"/>
        <w:rPr>
          <w:b/>
          <w:sz w:val="21"/>
        </w:rPr>
      </w:pPr>
      <w:r>
        <w:rPr>
          <w:rFonts w:eastAsia="MS Gothic"/>
          <w:b/>
          <w:bCs/>
          <w:sz w:val="21"/>
          <w:szCs w:val="22"/>
          <w:lang w:eastAsia="ja-JP"/>
        </w:rPr>
        <w:t xml:space="preserve">Proposal </w:t>
      </w:r>
      <w:r>
        <w:rPr>
          <w:rFonts w:hint="eastAsia"/>
          <w:b/>
          <w:bCs/>
          <w:sz w:val="21"/>
          <w:szCs w:val="22"/>
          <w:lang w:val="en-US" w:eastAsia="zh-CN"/>
        </w:rPr>
        <w:t>2</w:t>
      </w:r>
      <w:r>
        <w:rPr>
          <w:rFonts w:eastAsia="MS Gothic"/>
          <w:b/>
          <w:bCs/>
          <w:sz w:val="21"/>
          <w:szCs w:val="22"/>
          <w:lang w:eastAsia="ja-JP"/>
        </w:rPr>
        <w:t xml:space="preserve">: </w:t>
      </w:r>
      <w:r>
        <w:rPr>
          <w:b/>
          <w:sz w:val="21"/>
        </w:rPr>
        <w:t xml:space="preserve">During the PTW: T=min{UE specific DRX value if configured by upper layers, UE specific DRX value if configured by RRC, default DRX value broadcast in system information}. </w:t>
      </w:r>
    </w:p>
    <w:p>
      <w:pPr>
        <w:rPr>
          <w:rFonts w:eastAsia="MS Gothic"/>
          <w:b/>
          <w:bCs/>
          <w:sz w:val="21"/>
          <w:szCs w:val="22"/>
          <w:highlight w:val="none"/>
          <w:lang w:eastAsia="ja-JP"/>
        </w:rPr>
      </w:pPr>
      <w:r>
        <w:rPr>
          <w:rFonts w:eastAsia="MS Gothic"/>
          <w:b/>
          <w:bCs/>
          <w:sz w:val="21"/>
          <w:szCs w:val="22"/>
          <w:highlight w:val="none"/>
          <w:lang w:eastAsia="ja-JP"/>
        </w:rPr>
        <w:t xml:space="preserve">Proposal </w:t>
      </w:r>
      <w:r>
        <w:rPr>
          <w:rFonts w:hint="eastAsia"/>
          <w:b/>
          <w:bCs/>
          <w:sz w:val="21"/>
          <w:szCs w:val="22"/>
          <w:highlight w:val="none"/>
          <w:lang w:val="en-US" w:eastAsia="zh-CN"/>
        </w:rPr>
        <w:t>3</w:t>
      </w:r>
      <w:r>
        <w:rPr>
          <w:rFonts w:eastAsia="MS Gothic"/>
          <w:b/>
          <w:bCs/>
          <w:sz w:val="21"/>
          <w:szCs w:val="22"/>
          <w:highlight w:val="none"/>
          <w:lang w:eastAsia="ja-JP"/>
        </w:rPr>
        <w:t xml:space="preserve">: </w:t>
      </w:r>
      <w:r>
        <w:rPr>
          <w:rFonts w:hint="eastAsia"/>
          <w:b/>
          <w:bCs/>
          <w:sz w:val="21"/>
          <w:szCs w:val="22"/>
          <w:highlight w:val="none"/>
          <w:lang w:val="en-US" w:eastAsia="zh-CN"/>
        </w:rPr>
        <w:t>Whether to configure</w:t>
      </w:r>
      <w:r>
        <w:rPr>
          <w:rFonts w:eastAsia="MS Gothic"/>
          <w:b/>
          <w:bCs/>
          <w:sz w:val="21"/>
          <w:szCs w:val="22"/>
          <w:highlight w:val="none"/>
          <w:lang w:eastAsia="ja-JP"/>
        </w:rPr>
        <w:t xml:space="preserve"> shorter eDRX </w:t>
      </w:r>
      <w:r>
        <w:rPr>
          <w:rFonts w:hint="eastAsia"/>
          <w:b/>
          <w:bCs/>
          <w:sz w:val="21"/>
          <w:szCs w:val="22"/>
          <w:highlight w:val="none"/>
          <w:lang w:val="en-US" w:eastAsia="zh-CN"/>
        </w:rPr>
        <w:t>or use the default DRX</w:t>
      </w:r>
      <w:r>
        <w:rPr>
          <w:rFonts w:eastAsia="MS Gothic"/>
          <w:b/>
          <w:bCs/>
          <w:sz w:val="21"/>
          <w:szCs w:val="22"/>
          <w:highlight w:val="none"/>
          <w:lang w:eastAsia="ja-JP"/>
        </w:rPr>
        <w:t xml:space="preserve"> is </w:t>
      </w:r>
      <w:r>
        <w:rPr>
          <w:rFonts w:hint="eastAsia"/>
          <w:b/>
          <w:bCs/>
          <w:sz w:val="21"/>
          <w:szCs w:val="22"/>
          <w:highlight w:val="none"/>
          <w:lang w:val="en-US" w:eastAsia="zh-CN"/>
        </w:rPr>
        <w:t>up to network implementation</w:t>
      </w:r>
      <w:r>
        <w:rPr>
          <w:rFonts w:eastAsia="MS Gothic"/>
          <w:b/>
          <w:bCs/>
          <w:sz w:val="21"/>
          <w:szCs w:val="22"/>
          <w:highlight w:val="none"/>
          <w:lang w:eastAsia="ja-JP"/>
        </w:rPr>
        <w:t>.</w:t>
      </w:r>
    </w:p>
    <w:p>
      <w:pPr>
        <w:overflowPunct/>
        <w:autoSpaceDE/>
        <w:autoSpaceDN/>
        <w:adjustRightInd/>
        <w:spacing w:after="0" w:line="240" w:lineRule="auto"/>
        <w:jc w:val="left"/>
        <w:textAlignment w:val="auto"/>
        <w:rPr>
          <w:b/>
          <w:sz w:val="21"/>
        </w:rPr>
      </w:pPr>
    </w:p>
    <w:sectPr>
      <w:footerReference r:id="rId6" w:type="default"/>
      <w:headerReference r:id="rId5" w:type="even"/>
      <w:pgSz w:w="11906" w:h="16838"/>
      <w:pgMar w:top="1134" w:right="1134" w:bottom="1134" w:left="1134" w:header="737"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Symbol">
    <w:panose1 w:val="05050102010706020507"/>
    <w:charset w:val="02"/>
    <w:family w:val="roman"/>
    <w:pitch w:val="default"/>
    <w:sig w:usb0="00000000" w:usb1="00000000" w:usb2="00000000" w:usb3="00000000" w:csb0="80000000" w:csb1="00000000"/>
  </w:font>
  <w:font w:name="Arial Bold">
    <w:altName w:val="Arial"/>
    <w:panose1 w:val="020B0704020202020204"/>
    <w:charset w:val="00"/>
    <w:family w:val="moder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right"/>
    </w:pPr>
    <w:r>
      <w:fldChar w:fldCharType="begin"/>
    </w:r>
    <w:r>
      <w:instrText xml:space="preserve"> PAGE   \* MERGEFORMAT </w:instrText>
    </w:r>
    <w:r>
      <w:fldChar w:fldCharType="separate"/>
    </w:r>
    <w:r>
      <w:t>12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3123E7"/>
    <w:multiLevelType w:val="multilevel"/>
    <w:tmpl w:val="283123E7"/>
    <w:lvl w:ilvl="0" w:tentative="0">
      <w:start w:val="1"/>
      <w:numFmt w:val="decimal"/>
      <w:pStyle w:val="27"/>
      <w:lvlText w:val="%1."/>
      <w:lvlJc w:val="left"/>
      <w:pPr>
        <w:tabs>
          <w:tab w:val="left" w:pos="340"/>
        </w:tabs>
        <w:ind w:left="680" w:hanging="340"/>
      </w:pPr>
      <w:rPr>
        <w:rFonts w:hint="default"/>
      </w:rPr>
    </w:lvl>
    <w:lvl w:ilvl="1" w:tentative="0">
      <w:start w:val="1"/>
      <w:numFmt w:val="lowerLetter"/>
      <w:pStyle w:val="105"/>
      <w:lvlText w:val="%2)"/>
      <w:lvlJc w:val="left"/>
      <w:pPr>
        <w:tabs>
          <w:tab w:val="left" w:pos="1020"/>
        </w:tabs>
        <w:ind w:left="1360" w:hanging="340"/>
      </w:pPr>
      <w:rPr>
        <w:rFonts w:hint="default"/>
      </w:rPr>
    </w:lvl>
    <w:lvl w:ilvl="2" w:tentative="0">
      <w:start w:val="1"/>
      <w:numFmt w:val="lowerRoman"/>
      <w:pStyle w:val="107"/>
      <w:lvlText w:val="%3."/>
      <w:lvlJc w:val="left"/>
      <w:pPr>
        <w:tabs>
          <w:tab w:val="left" w:pos="1700"/>
        </w:tabs>
        <w:ind w:left="2040" w:hanging="340"/>
      </w:pPr>
      <w:rPr>
        <w:rFonts w:hint="default"/>
      </w:rPr>
    </w:lvl>
    <w:lvl w:ilvl="3" w:tentative="0">
      <w:start w:val="1"/>
      <w:numFmt w:val="none"/>
      <w:lvlText w:val="%4"/>
      <w:lvlJc w:val="left"/>
      <w:pPr>
        <w:tabs>
          <w:tab w:val="left" w:pos="2380"/>
        </w:tabs>
        <w:ind w:left="2720" w:hanging="340"/>
      </w:pPr>
      <w:rPr>
        <w:rFonts w:hint="default"/>
      </w:rPr>
    </w:lvl>
    <w:lvl w:ilvl="4" w:tentative="0">
      <w:start w:val="1"/>
      <w:numFmt w:val="none"/>
      <w:lvlText w:val="%5"/>
      <w:lvlJc w:val="left"/>
      <w:pPr>
        <w:tabs>
          <w:tab w:val="left" w:pos="3060"/>
        </w:tabs>
        <w:ind w:left="3400" w:hanging="340"/>
      </w:pPr>
      <w:rPr>
        <w:rFonts w:hint="default"/>
      </w:rPr>
    </w:lvl>
    <w:lvl w:ilvl="5" w:tentative="0">
      <w:start w:val="1"/>
      <w:numFmt w:val="none"/>
      <w:lvlText w:val="%6"/>
      <w:lvlJc w:val="right"/>
      <w:pPr>
        <w:tabs>
          <w:tab w:val="left" w:pos="3740"/>
        </w:tabs>
        <w:ind w:left="4080" w:hanging="340"/>
      </w:pPr>
      <w:rPr>
        <w:rFonts w:hint="default"/>
      </w:rPr>
    </w:lvl>
    <w:lvl w:ilvl="6" w:tentative="0">
      <w:start w:val="1"/>
      <w:numFmt w:val="none"/>
      <w:lvlText w:val="%7"/>
      <w:lvlJc w:val="left"/>
      <w:pPr>
        <w:tabs>
          <w:tab w:val="left" w:pos="4420"/>
        </w:tabs>
        <w:ind w:left="4760" w:hanging="340"/>
      </w:pPr>
      <w:rPr>
        <w:rFonts w:hint="default"/>
      </w:rPr>
    </w:lvl>
    <w:lvl w:ilvl="7" w:tentative="0">
      <w:start w:val="1"/>
      <w:numFmt w:val="none"/>
      <w:lvlText w:val="%8"/>
      <w:lvlJc w:val="left"/>
      <w:pPr>
        <w:tabs>
          <w:tab w:val="left" w:pos="5100"/>
        </w:tabs>
        <w:ind w:left="5440" w:hanging="340"/>
      </w:pPr>
      <w:rPr>
        <w:rFonts w:hint="default"/>
      </w:rPr>
    </w:lvl>
    <w:lvl w:ilvl="8" w:tentative="0">
      <w:start w:val="1"/>
      <w:numFmt w:val="none"/>
      <w:lvlText w:val="%9"/>
      <w:lvlJc w:val="right"/>
      <w:pPr>
        <w:tabs>
          <w:tab w:val="left" w:pos="5780"/>
        </w:tabs>
        <w:ind w:left="6120" w:hanging="340"/>
      </w:pPr>
      <w:rPr>
        <w:rFonts w:hint="default"/>
      </w:rPr>
    </w:lvl>
  </w:abstractNum>
  <w:abstractNum w:abstractNumId="1">
    <w:nsid w:val="538C75C4"/>
    <w:multiLevelType w:val="multilevel"/>
    <w:tmpl w:val="538C75C4"/>
    <w:lvl w:ilvl="0" w:tentative="0">
      <w:start w:val="1"/>
      <w:numFmt w:val="decimal"/>
      <w:pStyle w:val="102"/>
      <w:suff w:val="nothing"/>
      <w:lvlText w:val="Table %1"/>
      <w:lvlJc w:val="left"/>
      <w:pPr>
        <w:ind w:left="360" w:hanging="360"/>
      </w:pPr>
      <w:rPr>
        <w:rFonts w:hint="default" w:ascii="Arial Bold" w:hAnsi="Arial Bold"/>
        <w:b/>
        <w:i w:val="0"/>
        <w:color w:val="auto"/>
        <w:sz w:val="22"/>
      </w:rPr>
    </w:lvl>
    <w:lvl w:ilvl="1" w:tentative="0">
      <w:start w:val="1"/>
      <w:numFmt w:val="decimal"/>
      <w:lvlText w:val="%2."/>
      <w:lvlJc w:val="left"/>
      <w:pPr>
        <w:tabs>
          <w:tab w:val="left" w:pos="1440"/>
        </w:tabs>
        <w:ind w:left="1440" w:hanging="360"/>
      </w:pPr>
      <w:rPr>
        <w:rFonts w:hint="default"/>
      </w:rPr>
    </w:lvl>
    <w:lvl w:ilvl="2" w:tentative="0">
      <w:start w:val="1"/>
      <w:numFmt w:val="lowerRoman"/>
      <w:lvlText w:val="%3."/>
      <w:lvlJc w:val="right"/>
      <w:pPr>
        <w:tabs>
          <w:tab w:val="left" w:pos="2160"/>
        </w:tabs>
        <w:ind w:left="2160" w:hanging="180"/>
      </w:pPr>
      <w:rPr>
        <w:rFonts w:hint="default"/>
      </w:rPr>
    </w:lvl>
    <w:lvl w:ilvl="3" w:tentative="0">
      <w:start w:val="1"/>
      <w:numFmt w:val="decimal"/>
      <w:lvlText w:val="%4."/>
      <w:lvlJc w:val="left"/>
      <w:pPr>
        <w:tabs>
          <w:tab w:val="left" w:pos="2880"/>
        </w:tabs>
        <w:ind w:left="2880" w:hanging="360"/>
      </w:pPr>
      <w:rPr>
        <w:rFonts w:hint="default"/>
      </w:rPr>
    </w:lvl>
    <w:lvl w:ilvl="4" w:tentative="0">
      <w:start w:val="1"/>
      <w:numFmt w:val="lowerLetter"/>
      <w:lvlText w:val="%5."/>
      <w:lvlJc w:val="left"/>
      <w:pPr>
        <w:tabs>
          <w:tab w:val="left" w:pos="3600"/>
        </w:tabs>
        <w:ind w:left="3600" w:hanging="360"/>
      </w:pPr>
      <w:rPr>
        <w:rFonts w:hint="default"/>
      </w:rPr>
    </w:lvl>
    <w:lvl w:ilvl="5" w:tentative="0">
      <w:start w:val="1"/>
      <w:numFmt w:val="lowerRoman"/>
      <w:lvlText w:val="%6."/>
      <w:lvlJc w:val="right"/>
      <w:pPr>
        <w:tabs>
          <w:tab w:val="left" w:pos="4320"/>
        </w:tabs>
        <w:ind w:left="4320" w:hanging="180"/>
      </w:pPr>
      <w:rPr>
        <w:rFonts w:hint="default"/>
      </w:rPr>
    </w:lvl>
    <w:lvl w:ilvl="6" w:tentative="0">
      <w:start w:val="1"/>
      <w:numFmt w:val="decimal"/>
      <w:lvlText w:val="%7."/>
      <w:lvlJc w:val="left"/>
      <w:pPr>
        <w:tabs>
          <w:tab w:val="left" w:pos="5040"/>
        </w:tabs>
        <w:ind w:left="5040" w:hanging="360"/>
      </w:pPr>
      <w:rPr>
        <w:rFonts w:hint="default"/>
      </w:rPr>
    </w:lvl>
    <w:lvl w:ilvl="7" w:tentative="0">
      <w:start w:val="1"/>
      <w:numFmt w:val="lowerLetter"/>
      <w:lvlText w:val="%8."/>
      <w:lvlJc w:val="left"/>
      <w:pPr>
        <w:tabs>
          <w:tab w:val="left" w:pos="5760"/>
        </w:tabs>
        <w:ind w:left="5760" w:hanging="360"/>
      </w:pPr>
      <w:rPr>
        <w:rFonts w:hint="default"/>
      </w:rPr>
    </w:lvl>
    <w:lvl w:ilvl="8" w:tentative="0">
      <w:start w:val="1"/>
      <w:numFmt w:val="lowerRoman"/>
      <w:lvlText w:val="%9."/>
      <w:lvlJc w:val="right"/>
      <w:pPr>
        <w:tabs>
          <w:tab w:val="left" w:pos="6480"/>
        </w:tabs>
        <w:ind w:left="6480" w:hanging="180"/>
      </w:pPr>
      <w:rPr>
        <w:rFonts w:hint="default"/>
      </w:rPr>
    </w:lvl>
  </w:abstractNum>
  <w:abstractNum w:abstractNumId="2">
    <w:nsid w:val="70146DC0"/>
    <w:multiLevelType w:val="multilevel"/>
    <w:tmpl w:val="70146DC0"/>
    <w:lvl w:ilvl="0" w:tentative="0">
      <w:start w:val="1"/>
      <w:numFmt w:val="bullet"/>
      <w:pStyle w:val="11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A710F62"/>
    <w:multiLevelType w:val="multilevel"/>
    <w:tmpl w:val="7A710F62"/>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7BC330F5"/>
    <w:multiLevelType w:val="multilevel"/>
    <w:tmpl w:val="7BC330F5"/>
    <w:lvl w:ilvl="0" w:tentative="0">
      <w:start w:val="1"/>
      <w:numFmt w:val="bullet"/>
      <w:pStyle w:val="8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Batang"/>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Batang"/>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Batang"/>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1CAA"/>
    <w:rsid w:val="00001DB4"/>
    <w:rsid w:val="0000285D"/>
    <w:rsid w:val="00003A81"/>
    <w:rsid w:val="00004DC8"/>
    <w:rsid w:val="00005A1D"/>
    <w:rsid w:val="00006972"/>
    <w:rsid w:val="00010936"/>
    <w:rsid w:val="00011393"/>
    <w:rsid w:val="000117F1"/>
    <w:rsid w:val="00011D6B"/>
    <w:rsid w:val="000126F5"/>
    <w:rsid w:val="00012946"/>
    <w:rsid w:val="00013F15"/>
    <w:rsid w:val="00015F38"/>
    <w:rsid w:val="00016491"/>
    <w:rsid w:val="000168CE"/>
    <w:rsid w:val="00016ECC"/>
    <w:rsid w:val="00017D2F"/>
    <w:rsid w:val="0002025E"/>
    <w:rsid w:val="00020704"/>
    <w:rsid w:val="00020A8A"/>
    <w:rsid w:val="00020E2B"/>
    <w:rsid w:val="000240AF"/>
    <w:rsid w:val="00024BA4"/>
    <w:rsid w:val="0002510A"/>
    <w:rsid w:val="00025990"/>
    <w:rsid w:val="00025D8E"/>
    <w:rsid w:val="000262F3"/>
    <w:rsid w:val="0002667A"/>
    <w:rsid w:val="00026AE7"/>
    <w:rsid w:val="00027A43"/>
    <w:rsid w:val="00031410"/>
    <w:rsid w:val="00031E63"/>
    <w:rsid w:val="00032029"/>
    <w:rsid w:val="0003211B"/>
    <w:rsid w:val="000324F9"/>
    <w:rsid w:val="00033468"/>
    <w:rsid w:val="00033DBE"/>
    <w:rsid w:val="00033F8E"/>
    <w:rsid w:val="000341A0"/>
    <w:rsid w:val="000356F7"/>
    <w:rsid w:val="00037900"/>
    <w:rsid w:val="00037DEE"/>
    <w:rsid w:val="00041424"/>
    <w:rsid w:val="0004147B"/>
    <w:rsid w:val="00041BF6"/>
    <w:rsid w:val="00041E36"/>
    <w:rsid w:val="000420DE"/>
    <w:rsid w:val="000444C1"/>
    <w:rsid w:val="0004481B"/>
    <w:rsid w:val="00044C06"/>
    <w:rsid w:val="00046518"/>
    <w:rsid w:val="000470F7"/>
    <w:rsid w:val="000476A0"/>
    <w:rsid w:val="000504AE"/>
    <w:rsid w:val="000516BE"/>
    <w:rsid w:val="0005187C"/>
    <w:rsid w:val="00051932"/>
    <w:rsid w:val="00051A89"/>
    <w:rsid w:val="00051F4E"/>
    <w:rsid w:val="000523FB"/>
    <w:rsid w:val="00053538"/>
    <w:rsid w:val="000537B7"/>
    <w:rsid w:val="00054724"/>
    <w:rsid w:val="00055831"/>
    <w:rsid w:val="00056C34"/>
    <w:rsid w:val="00056EB0"/>
    <w:rsid w:val="00057080"/>
    <w:rsid w:val="000600C4"/>
    <w:rsid w:val="000605B3"/>
    <w:rsid w:val="000606B5"/>
    <w:rsid w:val="000608F5"/>
    <w:rsid w:val="000618ED"/>
    <w:rsid w:val="00062286"/>
    <w:rsid w:val="0006288B"/>
    <w:rsid w:val="00062CD8"/>
    <w:rsid w:val="00063429"/>
    <w:rsid w:val="00063734"/>
    <w:rsid w:val="000643A4"/>
    <w:rsid w:val="00065899"/>
    <w:rsid w:val="000659FC"/>
    <w:rsid w:val="00067869"/>
    <w:rsid w:val="000678B9"/>
    <w:rsid w:val="000678F1"/>
    <w:rsid w:val="00071818"/>
    <w:rsid w:val="000736BD"/>
    <w:rsid w:val="00073EA5"/>
    <w:rsid w:val="00074163"/>
    <w:rsid w:val="00074359"/>
    <w:rsid w:val="00074877"/>
    <w:rsid w:val="0007598B"/>
    <w:rsid w:val="0007617D"/>
    <w:rsid w:val="00076790"/>
    <w:rsid w:val="00076DE5"/>
    <w:rsid w:val="00077EF0"/>
    <w:rsid w:val="00080137"/>
    <w:rsid w:val="00080956"/>
    <w:rsid w:val="000819FA"/>
    <w:rsid w:val="00082E57"/>
    <w:rsid w:val="00082F73"/>
    <w:rsid w:val="00083A87"/>
    <w:rsid w:val="00083DB8"/>
    <w:rsid w:val="00084065"/>
    <w:rsid w:val="00085F8A"/>
    <w:rsid w:val="00086555"/>
    <w:rsid w:val="00086940"/>
    <w:rsid w:val="00086AB3"/>
    <w:rsid w:val="00086C64"/>
    <w:rsid w:val="00087781"/>
    <w:rsid w:val="00087E8C"/>
    <w:rsid w:val="0009062A"/>
    <w:rsid w:val="000911B4"/>
    <w:rsid w:val="000936BA"/>
    <w:rsid w:val="00093C6F"/>
    <w:rsid w:val="000947C0"/>
    <w:rsid w:val="00095163"/>
    <w:rsid w:val="000957BB"/>
    <w:rsid w:val="00095B5B"/>
    <w:rsid w:val="00095D64"/>
    <w:rsid w:val="000977D9"/>
    <w:rsid w:val="000A0536"/>
    <w:rsid w:val="000A0BE5"/>
    <w:rsid w:val="000A1415"/>
    <w:rsid w:val="000A256F"/>
    <w:rsid w:val="000A351D"/>
    <w:rsid w:val="000A4020"/>
    <w:rsid w:val="000A4674"/>
    <w:rsid w:val="000A49BE"/>
    <w:rsid w:val="000A642D"/>
    <w:rsid w:val="000A6448"/>
    <w:rsid w:val="000A655C"/>
    <w:rsid w:val="000A6F8A"/>
    <w:rsid w:val="000A7C83"/>
    <w:rsid w:val="000A7E6A"/>
    <w:rsid w:val="000B017D"/>
    <w:rsid w:val="000B0814"/>
    <w:rsid w:val="000B0C75"/>
    <w:rsid w:val="000B1AB0"/>
    <w:rsid w:val="000B1ACF"/>
    <w:rsid w:val="000B20C4"/>
    <w:rsid w:val="000B22C7"/>
    <w:rsid w:val="000B2C24"/>
    <w:rsid w:val="000B2C38"/>
    <w:rsid w:val="000B5215"/>
    <w:rsid w:val="000B56C6"/>
    <w:rsid w:val="000B587A"/>
    <w:rsid w:val="000B5F31"/>
    <w:rsid w:val="000B7438"/>
    <w:rsid w:val="000C19FB"/>
    <w:rsid w:val="000C302D"/>
    <w:rsid w:val="000C3B3F"/>
    <w:rsid w:val="000C4E62"/>
    <w:rsid w:val="000C50B2"/>
    <w:rsid w:val="000C5189"/>
    <w:rsid w:val="000C6060"/>
    <w:rsid w:val="000C6880"/>
    <w:rsid w:val="000C6C05"/>
    <w:rsid w:val="000C6D75"/>
    <w:rsid w:val="000C7D57"/>
    <w:rsid w:val="000D01DE"/>
    <w:rsid w:val="000D0293"/>
    <w:rsid w:val="000D15A8"/>
    <w:rsid w:val="000D2514"/>
    <w:rsid w:val="000D2C2D"/>
    <w:rsid w:val="000D38E5"/>
    <w:rsid w:val="000D49ED"/>
    <w:rsid w:val="000D4B4D"/>
    <w:rsid w:val="000D5227"/>
    <w:rsid w:val="000D544F"/>
    <w:rsid w:val="000D6A15"/>
    <w:rsid w:val="000D6AF4"/>
    <w:rsid w:val="000D6B55"/>
    <w:rsid w:val="000D6E5F"/>
    <w:rsid w:val="000D723A"/>
    <w:rsid w:val="000D7DE0"/>
    <w:rsid w:val="000D7E08"/>
    <w:rsid w:val="000E0BAB"/>
    <w:rsid w:val="000E0F74"/>
    <w:rsid w:val="000E1AA9"/>
    <w:rsid w:val="000E22A7"/>
    <w:rsid w:val="000E2958"/>
    <w:rsid w:val="000E2FA0"/>
    <w:rsid w:val="000E37C3"/>
    <w:rsid w:val="000E397B"/>
    <w:rsid w:val="000E5ECA"/>
    <w:rsid w:val="000E7A9D"/>
    <w:rsid w:val="000E7D5F"/>
    <w:rsid w:val="000F061B"/>
    <w:rsid w:val="000F064E"/>
    <w:rsid w:val="000F0D50"/>
    <w:rsid w:val="000F138C"/>
    <w:rsid w:val="000F1EF2"/>
    <w:rsid w:val="000F2170"/>
    <w:rsid w:val="000F21B2"/>
    <w:rsid w:val="000F24A4"/>
    <w:rsid w:val="000F2683"/>
    <w:rsid w:val="000F39D2"/>
    <w:rsid w:val="000F416C"/>
    <w:rsid w:val="000F45F4"/>
    <w:rsid w:val="000F4CA0"/>
    <w:rsid w:val="000F69C6"/>
    <w:rsid w:val="000F78DB"/>
    <w:rsid w:val="000F7F38"/>
    <w:rsid w:val="00100D2A"/>
    <w:rsid w:val="0010127D"/>
    <w:rsid w:val="00101378"/>
    <w:rsid w:val="001022BF"/>
    <w:rsid w:val="0010244D"/>
    <w:rsid w:val="00102898"/>
    <w:rsid w:val="00102A27"/>
    <w:rsid w:val="00102BBD"/>
    <w:rsid w:val="00102FAE"/>
    <w:rsid w:val="00103145"/>
    <w:rsid w:val="00103159"/>
    <w:rsid w:val="00103882"/>
    <w:rsid w:val="00104124"/>
    <w:rsid w:val="0010546D"/>
    <w:rsid w:val="00106929"/>
    <w:rsid w:val="00106D9E"/>
    <w:rsid w:val="001112F2"/>
    <w:rsid w:val="0011132D"/>
    <w:rsid w:val="0011237C"/>
    <w:rsid w:val="00112C5B"/>
    <w:rsid w:val="00112C9D"/>
    <w:rsid w:val="00112CD2"/>
    <w:rsid w:val="0011343B"/>
    <w:rsid w:val="0011355F"/>
    <w:rsid w:val="00114EE9"/>
    <w:rsid w:val="001207F7"/>
    <w:rsid w:val="00120CC9"/>
    <w:rsid w:val="00120E78"/>
    <w:rsid w:val="00121AAC"/>
    <w:rsid w:val="00121AF3"/>
    <w:rsid w:val="00122384"/>
    <w:rsid w:val="00122491"/>
    <w:rsid w:val="00123290"/>
    <w:rsid w:val="0012476C"/>
    <w:rsid w:val="001247D3"/>
    <w:rsid w:val="001248C2"/>
    <w:rsid w:val="00124ED7"/>
    <w:rsid w:val="00125613"/>
    <w:rsid w:val="00125E9F"/>
    <w:rsid w:val="001262F2"/>
    <w:rsid w:val="0012637C"/>
    <w:rsid w:val="00126CB5"/>
    <w:rsid w:val="001306BD"/>
    <w:rsid w:val="001315B9"/>
    <w:rsid w:val="001327C1"/>
    <w:rsid w:val="00132886"/>
    <w:rsid w:val="00132C80"/>
    <w:rsid w:val="00132F59"/>
    <w:rsid w:val="001343F7"/>
    <w:rsid w:val="0013497F"/>
    <w:rsid w:val="00135175"/>
    <w:rsid w:val="001359F5"/>
    <w:rsid w:val="001364FD"/>
    <w:rsid w:val="00136558"/>
    <w:rsid w:val="0013657F"/>
    <w:rsid w:val="00136CC5"/>
    <w:rsid w:val="0013715F"/>
    <w:rsid w:val="00137A78"/>
    <w:rsid w:val="0014160F"/>
    <w:rsid w:val="0014202E"/>
    <w:rsid w:val="00142759"/>
    <w:rsid w:val="0014343A"/>
    <w:rsid w:val="001436C4"/>
    <w:rsid w:val="00143CC1"/>
    <w:rsid w:val="00143F9E"/>
    <w:rsid w:val="0014451F"/>
    <w:rsid w:val="00144522"/>
    <w:rsid w:val="0014472B"/>
    <w:rsid w:val="00144EAF"/>
    <w:rsid w:val="00145643"/>
    <w:rsid w:val="001456CF"/>
    <w:rsid w:val="0014656A"/>
    <w:rsid w:val="001470E8"/>
    <w:rsid w:val="00147207"/>
    <w:rsid w:val="001500F7"/>
    <w:rsid w:val="0015085C"/>
    <w:rsid w:val="001508F3"/>
    <w:rsid w:val="001525B3"/>
    <w:rsid w:val="00155420"/>
    <w:rsid w:val="001554F9"/>
    <w:rsid w:val="00156591"/>
    <w:rsid w:val="001570F6"/>
    <w:rsid w:val="00161C88"/>
    <w:rsid w:val="00162432"/>
    <w:rsid w:val="001627AF"/>
    <w:rsid w:val="00164078"/>
    <w:rsid w:val="001651D4"/>
    <w:rsid w:val="001652C7"/>
    <w:rsid w:val="00165C3F"/>
    <w:rsid w:val="0016612B"/>
    <w:rsid w:val="0016674A"/>
    <w:rsid w:val="00166F52"/>
    <w:rsid w:val="001674A8"/>
    <w:rsid w:val="00167524"/>
    <w:rsid w:val="00167554"/>
    <w:rsid w:val="0016791D"/>
    <w:rsid w:val="00170555"/>
    <w:rsid w:val="00170A65"/>
    <w:rsid w:val="00170B59"/>
    <w:rsid w:val="00170E5D"/>
    <w:rsid w:val="00170FC4"/>
    <w:rsid w:val="0017123F"/>
    <w:rsid w:val="00171382"/>
    <w:rsid w:val="00171447"/>
    <w:rsid w:val="00171B43"/>
    <w:rsid w:val="0017205C"/>
    <w:rsid w:val="00173E7B"/>
    <w:rsid w:val="001755DE"/>
    <w:rsid w:val="001757B3"/>
    <w:rsid w:val="00175A98"/>
    <w:rsid w:val="00175BD9"/>
    <w:rsid w:val="001763C9"/>
    <w:rsid w:val="001777EA"/>
    <w:rsid w:val="00177A84"/>
    <w:rsid w:val="00177FA8"/>
    <w:rsid w:val="0018120D"/>
    <w:rsid w:val="00183D6D"/>
    <w:rsid w:val="00184479"/>
    <w:rsid w:val="00184FC7"/>
    <w:rsid w:val="001850AA"/>
    <w:rsid w:val="00185FA1"/>
    <w:rsid w:val="0018656A"/>
    <w:rsid w:val="001865B8"/>
    <w:rsid w:val="00186C20"/>
    <w:rsid w:val="00187B63"/>
    <w:rsid w:val="00187C49"/>
    <w:rsid w:val="0019053B"/>
    <w:rsid w:val="0019070E"/>
    <w:rsid w:val="001913E8"/>
    <w:rsid w:val="001919DF"/>
    <w:rsid w:val="00192F4A"/>
    <w:rsid w:val="00193662"/>
    <w:rsid w:val="00195014"/>
    <w:rsid w:val="00195336"/>
    <w:rsid w:val="00195B56"/>
    <w:rsid w:val="001961ED"/>
    <w:rsid w:val="001969E5"/>
    <w:rsid w:val="00197278"/>
    <w:rsid w:val="00197FB4"/>
    <w:rsid w:val="001A0FA0"/>
    <w:rsid w:val="001A1248"/>
    <w:rsid w:val="001A19FC"/>
    <w:rsid w:val="001A2061"/>
    <w:rsid w:val="001A27B4"/>
    <w:rsid w:val="001A28B1"/>
    <w:rsid w:val="001A45BD"/>
    <w:rsid w:val="001A73AB"/>
    <w:rsid w:val="001A73AC"/>
    <w:rsid w:val="001A7919"/>
    <w:rsid w:val="001B1730"/>
    <w:rsid w:val="001B1813"/>
    <w:rsid w:val="001B27AF"/>
    <w:rsid w:val="001B281F"/>
    <w:rsid w:val="001B2989"/>
    <w:rsid w:val="001B2C8C"/>
    <w:rsid w:val="001B324A"/>
    <w:rsid w:val="001B3343"/>
    <w:rsid w:val="001B3733"/>
    <w:rsid w:val="001B413D"/>
    <w:rsid w:val="001B54CE"/>
    <w:rsid w:val="001B5833"/>
    <w:rsid w:val="001B60BB"/>
    <w:rsid w:val="001B6D20"/>
    <w:rsid w:val="001C0343"/>
    <w:rsid w:val="001C1215"/>
    <w:rsid w:val="001C127F"/>
    <w:rsid w:val="001C1762"/>
    <w:rsid w:val="001C1FBB"/>
    <w:rsid w:val="001C28D1"/>
    <w:rsid w:val="001C2F46"/>
    <w:rsid w:val="001C357C"/>
    <w:rsid w:val="001C37C6"/>
    <w:rsid w:val="001C3C1F"/>
    <w:rsid w:val="001C4590"/>
    <w:rsid w:val="001C50C9"/>
    <w:rsid w:val="001C51AE"/>
    <w:rsid w:val="001C5668"/>
    <w:rsid w:val="001C6AEB"/>
    <w:rsid w:val="001D06A9"/>
    <w:rsid w:val="001D0735"/>
    <w:rsid w:val="001D187B"/>
    <w:rsid w:val="001D1C93"/>
    <w:rsid w:val="001D1E21"/>
    <w:rsid w:val="001D2DA8"/>
    <w:rsid w:val="001D30CB"/>
    <w:rsid w:val="001D3B4D"/>
    <w:rsid w:val="001D4276"/>
    <w:rsid w:val="001D56D0"/>
    <w:rsid w:val="001D58E9"/>
    <w:rsid w:val="001D616C"/>
    <w:rsid w:val="001D766C"/>
    <w:rsid w:val="001D7794"/>
    <w:rsid w:val="001E15AF"/>
    <w:rsid w:val="001E17B4"/>
    <w:rsid w:val="001E228A"/>
    <w:rsid w:val="001E2326"/>
    <w:rsid w:val="001E2AE2"/>
    <w:rsid w:val="001E48B7"/>
    <w:rsid w:val="001E48EC"/>
    <w:rsid w:val="001E535E"/>
    <w:rsid w:val="001E5921"/>
    <w:rsid w:val="001E60C9"/>
    <w:rsid w:val="001E7C43"/>
    <w:rsid w:val="001E7E5B"/>
    <w:rsid w:val="001F069B"/>
    <w:rsid w:val="001F0B93"/>
    <w:rsid w:val="001F1177"/>
    <w:rsid w:val="001F4E70"/>
    <w:rsid w:val="001F4ECA"/>
    <w:rsid w:val="001F546F"/>
    <w:rsid w:val="001F58BE"/>
    <w:rsid w:val="001F65EF"/>
    <w:rsid w:val="001F72D2"/>
    <w:rsid w:val="001F7B28"/>
    <w:rsid w:val="001F7B9E"/>
    <w:rsid w:val="00200C4D"/>
    <w:rsid w:val="0020156A"/>
    <w:rsid w:val="002017A6"/>
    <w:rsid w:val="00202045"/>
    <w:rsid w:val="0020204B"/>
    <w:rsid w:val="00202323"/>
    <w:rsid w:val="00205326"/>
    <w:rsid w:val="00207E3C"/>
    <w:rsid w:val="0021077C"/>
    <w:rsid w:val="00211405"/>
    <w:rsid w:val="002120D7"/>
    <w:rsid w:val="002122D9"/>
    <w:rsid w:val="00212946"/>
    <w:rsid w:val="00212D18"/>
    <w:rsid w:val="0021301A"/>
    <w:rsid w:val="0021308A"/>
    <w:rsid w:val="0021432F"/>
    <w:rsid w:val="002145D8"/>
    <w:rsid w:val="0021512A"/>
    <w:rsid w:val="002160C9"/>
    <w:rsid w:val="00216D7A"/>
    <w:rsid w:val="00220202"/>
    <w:rsid w:val="00220301"/>
    <w:rsid w:val="002206A4"/>
    <w:rsid w:val="002206D4"/>
    <w:rsid w:val="00220CBA"/>
    <w:rsid w:val="00220F04"/>
    <w:rsid w:val="002214B8"/>
    <w:rsid w:val="00221DF8"/>
    <w:rsid w:val="002221EB"/>
    <w:rsid w:val="002235C3"/>
    <w:rsid w:val="00223BB9"/>
    <w:rsid w:val="00223E40"/>
    <w:rsid w:val="0022449A"/>
    <w:rsid w:val="0022563E"/>
    <w:rsid w:val="002274FD"/>
    <w:rsid w:val="00227A33"/>
    <w:rsid w:val="00227C8B"/>
    <w:rsid w:val="0023173F"/>
    <w:rsid w:val="0023193B"/>
    <w:rsid w:val="00231F8B"/>
    <w:rsid w:val="002332E4"/>
    <w:rsid w:val="00233B56"/>
    <w:rsid w:val="00233CB1"/>
    <w:rsid w:val="00234BB1"/>
    <w:rsid w:val="0023537E"/>
    <w:rsid w:val="002355B1"/>
    <w:rsid w:val="00235A13"/>
    <w:rsid w:val="00235FB6"/>
    <w:rsid w:val="00236BF8"/>
    <w:rsid w:val="002370D8"/>
    <w:rsid w:val="002401FE"/>
    <w:rsid w:val="0024036A"/>
    <w:rsid w:val="002403F6"/>
    <w:rsid w:val="00241693"/>
    <w:rsid w:val="00241886"/>
    <w:rsid w:val="00241A0B"/>
    <w:rsid w:val="00242D18"/>
    <w:rsid w:val="002434C4"/>
    <w:rsid w:val="0024381D"/>
    <w:rsid w:val="00245CE7"/>
    <w:rsid w:val="00245E59"/>
    <w:rsid w:val="00246AF7"/>
    <w:rsid w:val="00246E03"/>
    <w:rsid w:val="0024701C"/>
    <w:rsid w:val="00250190"/>
    <w:rsid w:val="0025041B"/>
    <w:rsid w:val="002505AD"/>
    <w:rsid w:val="00250B57"/>
    <w:rsid w:val="0025109C"/>
    <w:rsid w:val="002511BB"/>
    <w:rsid w:val="0025205D"/>
    <w:rsid w:val="00252497"/>
    <w:rsid w:val="002524A8"/>
    <w:rsid w:val="00252518"/>
    <w:rsid w:val="002533D2"/>
    <w:rsid w:val="00253ACC"/>
    <w:rsid w:val="00254A0A"/>
    <w:rsid w:val="00254AB0"/>
    <w:rsid w:val="00255E67"/>
    <w:rsid w:val="00255F9C"/>
    <w:rsid w:val="00256331"/>
    <w:rsid w:val="0025712B"/>
    <w:rsid w:val="00257A57"/>
    <w:rsid w:val="00260DB7"/>
    <w:rsid w:val="0026489D"/>
    <w:rsid w:val="00264D2C"/>
    <w:rsid w:val="002668E6"/>
    <w:rsid w:val="00266F26"/>
    <w:rsid w:val="002675DC"/>
    <w:rsid w:val="00267ACE"/>
    <w:rsid w:val="00267AD3"/>
    <w:rsid w:val="002703CA"/>
    <w:rsid w:val="00270F07"/>
    <w:rsid w:val="0027145A"/>
    <w:rsid w:val="00271FED"/>
    <w:rsid w:val="00272F22"/>
    <w:rsid w:val="00273120"/>
    <w:rsid w:val="0027360F"/>
    <w:rsid w:val="00274D21"/>
    <w:rsid w:val="002754BB"/>
    <w:rsid w:val="00275A55"/>
    <w:rsid w:val="002769B8"/>
    <w:rsid w:val="00277332"/>
    <w:rsid w:val="002806D9"/>
    <w:rsid w:val="00280AA4"/>
    <w:rsid w:val="00281616"/>
    <w:rsid w:val="00281B04"/>
    <w:rsid w:val="00282135"/>
    <w:rsid w:val="00282801"/>
    <w:rsid w:val="00283B2D"/>
    <w:rsid w:val="00284CA4"/>
    <w:rsid w:val="00284DCE"/>
    <w:rsid w:val="00285F40"/>
    <w:rsid w:val="00286BC4"/>
    <w:rsid w:val="002873AF"/>
    <w:rsid w:val="002878D4"/>
    <w:rsid w:val="00287913"/>
    <w:rsid w:val="00287FB8"/>
    <w:rsid w:val="0029027F"/>
    <w:rsid w:val="00290D30"/>
    <w:rsid w:val="00290F39"/>
    <w:rsid w:val="00290F62"/>
    <w:rsid w:val="002935F8"/>
    <w:rsid w:val="00293A81"/>
    <w:rsid w:val="00293A8C"/>
    <w:rsid w:val="00294A2D"/>
    <w:rsid w:val="00296097"/>
    <w:rsid w:val="00296A7D"/>
    <w:rsid w:val="00297BA3"/>
    <w:rsid w:val="00297F77"/>
    <w:rsid w:val="00297FEB"/>
    <w:rsid w:val="002A01FA"/>
    <w:rsid w:val="002A0A0E"/>
    <w:rsid w:val="002A1C8E"/>
    <w:rsid w:val="002A1CE4"/>
    <w:rsid w:val="002A1FB8"/>
    <w:rsid w:val="002A22EA"/>
    <w:rsid w:val="002A26EF"/>
    <w:rsid w:val="002A2CDF"/>
    <w:rsid w:val="002A4F7E"/>
    <w:rsid w:val="002A4FB3"/>
    <w:rsid w:val="002A4FE3"/>
    <w:rsid w:val="002A54D7"/>
    <w:rsid w:val="002A5F84"/>
    <w:rsid w:val="002A6807"/>
    <w:rsid w:val="002A76ED"/>
    <w:rsid w:val="002A7BDE"/>
    <w:rsid w:val="002A7FA0"/>
    <w:rsid w:val="002B09FB"/>
    <w:rsid w:val="002B0C02"/>
    <w:rsid w:val="002B15B9"/>
    <w:rsid w:val="002B15E3"/>
    <w:rsid w:val="002B19D9"/>
    <w:rsid w:val="002B2856"/>
    <w:rsid w:val="002B407E"/>
    <w:rsid w:val="002B59B2"/>
    <w:rsid w:val="002B679F"/>
    <w:rsid w:val="002B6829"/>
    <w:rsid w:val="002B702B"/>
    <w:rsid w:val="002B7519"/>
    <w:rsid w:val="002C1ABD"/>
    <w:rsid w:val="002C34FC"/>
    <w:rsid w:val="002C387F"/>
    <w:rsid w:val="002C3EA9"/>
    <w:rsid w:val="002C4B4A"/>
    <w:rsid w:val="002C4CC5"/>
    <w:rsid w:val="002C5094"/>
    <w:rsid w:val="002C570F"/>
    <w:rsid w:val="002C5D1F"/>
    <w:rsid w:val="002C6233"/>
    <w:rsid w:val="002C64FD"/>
    <w:rsid w:val="002C6C9B"/>
    <w:rsid w:val="002C7A31"/>
    <w:rsid w:val="002D00E4"/>
    <w:rsid w:val="002D0462"/>
    <w:rsid w:val="002D0F6A"/>
    <w:rsid w:val="002D1DBA"/>
    <w:rsid w:val="002D2999"/>
    <w:rsid w:val="002D2C4B"/>
    <w:rsid w:val="002D326F"/>
    <w:rsid w:val="002D4447"/>
    <w:rsid w:val="002D4766"/>
    <w:rsid w:val="002D5113"/>
    <w:rsid w:val="002D51B5"/>
    <w:rsid w:val="002D52BF"/>
    <w:rsid w:val="002D5C77"/>
    <w:rsid w:val="002D63CA"/>
    <w:rsid w:val="002D6F60"/>
    <w:rsid w:val="002D70A3"/>
    <w:rsid w:val="002E0037"/>
    <w:rsid w:val="002E013E"/>
    <w:rsid w:val="002E02CB"/>
    <w:rsid w:val="002E087D"/>
    <w:rsid w:val="002E1BF5"/>
    <w:rsid w:val="002E2623"/>
    <w:rsid w:val="002E2BBC"/>
    <w:rsid w:val="002E4030"/>
    <w:rsid w:val="002E4D15"/>
    <w:rsid w:val="002E4FF8"/>
    <w:rsid w:val="002E55E5"/>
    <w:rsid w:val="002E6598"/>
    <w:rsid w:val="002E6611"/>
    <w:rsid w:val="002E68EE"/>
    <w:rsid w:val="002F012E"/>
    <w:rsid w:val="002F08B7"/>
    <w:rsid w:val="002F180E"/>
    <w:rsid w:val="002F1B15"/>
    <w:rsid w:val="002F2918"/>
    <w:rsid w:val="002F298D"/>
    <w:rsid w:val="002F29C1"/>
    <w:rsid w:val="002F4066"/>
    <w:rsid w:val="002F4C01"/>
    <w:rsid w:val="002F4E34"/>
    <w:rsid w:val="002F55FC"/>
    <w:rsid w:val="002F6BD6"/>
    <w:rsid w:val="002F7416"/>
    <w:rsid w:val="002F757C"/>
    <w:rsid w:val="00300156"/>
    <w:rsid w:val="003006C7"/>
    <w:rsid w:val="00300C72"/>
    <w:rsid w:val="00300EB3"/>
    <w:rsid w:val="00301451"/>
    <w:rsid w:val="00301AC2"/>
    <w:rsid w:val="00301D8F"/>
    <w:rsid w:val="0030249D"/>
    <w:rsid w:val="00303504"/>
    <w:rsid w:val="00305124"/>
    <w:rsid w:val="003052D7"/>
    <w:rsid w:val="00305AD5"/>
    <w:rsid w:val="0030633B"/>
    <w:rsid w:val="0030664C"/>
    <w:rsid w:val="0030749A"/>
    <w:rsid w:val="003077D1"/>
    <w:rsid w:val="00307891"/>
    <w:rsid w:val="00307D6A"/>
    <w:rsid w:val="00307DCF"/>
    <w:rsid w:val="00310ECB"/>
    <w:rsid w:val="003115E1"/>
    <w:rsid w:val="0031199B"/>
    <w:rsid w:val="003124FF"/>
    <w:rsid w:val="003128DB"/>
    <w:rsid w:val="00312CA0"/>
    <w:rsid w:val="00312F4D"/>
    <w:rsid w:val="00313940"/>
    <w:rsid w:val="00313C93"/>
    <w:rsid w:val="00314E20"/>
    <w:rsid w:val="00314EA4"/>
    <w:rsid w:val="00314F91"/>
    <w:rsid w:val="00315971"/>
    <w:rsid w:val="00315CFC"/>
    <w:rsid w:val="00316202"/>
    <w:rsid w:val="00316CEB"/>
    <w:rsid w:val="003203E1"/>
    <w:rsid w:val="003210D4"/>
    <w:rsid w:val="0032192C"/>
    <w:rsid w:val="00322315"/>
    <w:rsid w:val="0032393C"/>
    <w:rsid w:val="0032605A"/>
    <w:rsid w:val="00327B40"/>
    <w:rsid w:val="00330341"/>
    <w:rsid w:val="003310F7"/>
    <w:rsid w:val="00331E7F"/>
    <w:rsid w:val="00332559"/>
    <w:rsid w:val="0033314E"/>
    <w:rsid w:val="003349AC"/>
    <w:rsid w:val="003353DE"/>
    <w:rsid w:val="00335F3A"/>
    <w:rsid w:val="0033667D"/>
    <w:rsid w:val="00336A93"/>
    <w:rsid w:val="00341812"/>
    <w:rsid w:val="003426E4"/>
    <w:rsid w:val="00342F89"/>
    <w:rsid w:val="00343045"/>
    <w:rsid w:val="00343C42"/>
    <w:rsid w:val="00343CB8"/>
    <w:rsid w:val="00350631"/>
    <w:rsid w:val="00351E31"/>
    <w:rsid w:val="0035353B"/>
    <w:rsid w:val="00353C45"/>
    <w:rsid w:val="0035479B"/>
    <w:rsid w:val="00354F02"/>
    <w:rsid w:val="003552EC"/>
    <w:rsid w:val="003553A3"/>
    <w:rsid w:val="0035554B"/>
    <w:rsid w:val="00355A7E"/>
    <w:rsid w:val="00355AA9"/>
    <w:rsid w:val="00355D4E"/>
    <w:rsid w:val="00356274"/>
    <w:rsid w:val="00356349"/>
    <w:rsid w:val="0035635D"/>
    <w:rsid w:val="00356628"/>
    <w:rsid w:val="00356DB5"/>
    <w:rsid w:val="00356F8A"/>
    <w:rsid w:val="003573FC"/>
    <w:rsid w:val="0035743A"/>
    <w:rsid w:val="00357A4B"/>
    <w:rsid w:val="00357C8F"/>
    <w:rsid w:val="0036039C"/>
    <w:rsid w:val="00362115"/>
    <w:rsid w:val="003621A4"/>
    <w:rsid w:val="00362629"/>
    <w:rsid w:val="00362ABC"/>
    <w:rsid w:val="003638CA"/>
    <w:rsid w:val="00363A9D"/>
    <w:rsid w:val="003644C1"/>
    <w:rsid w:val="00364546"/>
    <w:rsid w:val="003647A0"/>
    <w:rsid w:val="00364AA3"/>
    <w:rsid w:val="00364F60"/>
    <w:rsid w:val="00365F9E"/>
    <w:rsid w:val="00366A41"/>
    <w:rsid w:val="00371977"/>
    <w:rsid w:val="00371FD7"/>
    <w:rsid w:val="0037220B"/>
    <w:rsid w:val="00372294"/>
    <w:rsid w:val="00372AEC"/>
    <w:rsid w:val="00373086"/>
    <w:rsid w:val="00373147"/>
    <w:rsid w:val="00373E0D"/>
    <w:rsid w:val="003743D5"/>
    <w:rsid w:val="00375348"/>
    <w:rsid w:val="003753A0"/>
    <w:rsid w:val="003766D6"/>
    <w:rsid w:val="00376B1B"/>
    <w:rsid w:val="00377092"/>
    <w:rsid w:val="00377FE2"/>
    <w:rsid w:val="003802A4"/>
    <w:rsid w:val="003802C3"/>
    <w:rsid w:val="00380767"/>
    <w:rsid w:val="003808AB"/>
    <w:rsid w:val="0038101D"/>
    <w:rsid w:val="0038124E"/>
    <w:rsid w:val="00382FE0"/>
    <w:rsid w:val="00383376"/>
    <w:rsid w:val="00383F56"/>
    <w:rsid w:val="00384F57"/>
    <w:rsid w:val="003853C0"/>
    <w:rsid w:val="00385A9C"/>
    <w:rsid w:val="00385D49"/>
    <w:rsid w:val="0038627D"/>
    <w:rsid w:val="00386A3B"/>
    <w:rsid w:val="003872A7"/>
    <w:rsid w:val="00387566"/>
    <w:rsid w:val="00390B9D"/>
    <w:rsid w:val="00390E0C"/>
    <w:rsid w:val="00391119"/>
    <w:rsid w:val="003912A5"/>
    <w:rsid w:val="00391E2B"/>
    <w:rsid w:val="003920BE"/>
    <w:rsid w:val="003921BC"/>
    <w:rsid w:val="0039225E"/>
    <w:rsid w:val="00392773"/>
    <w:rsid w:val="00392798"/>
    <w:rsid w:val="003927FB"/>
    <w:rsid w:val="00393472"/>
    <w:rsid w:val="00394803"/>
    <w:rsid w:val="00394E77"/>
    <w:rsid w:val="00395977"/>
    <w:rsid w:val="003978BF"/>
    <w:rsid w:val="003A04B8"/>
    <w:rsid w:val="003A0963"/>
    <w:rsid w:val="003A149D"/>
    <w:rsid w:val="003A15C1"/>
    <w:rsid w:val="003A2F64"/>
    <w:rsid w:val="003A398F"/>
    <w:rsid w:val="003A47CC"/>
    <w:rsid w:val="003A50BE"/>
    <w:rsid w:val="003A644D"/>
    <w:rsid w:val="003A673B"/>
    <w:rsid w:val="003A6D6F"/>
    <w:rsid w:val="003A6F2B"/>
    <w:rsid w:val="003A737D"/>
    <w:rsid w:val="003A7BB0"/>
    <w:rsid w:val="003B0943"/>
    <w:rsid w:val="003B10D2"/>
    <w:rsid w:val="003B2C12"/>
    <w:rsid w:val="003B2F0C"/>
    <w:rsid w:val="003B3AA1"/>
    <w:rsid w:val="003B409D"/>
    <w:rsid w:val="003B44A5"/>
    <w:rsid w:val="003B4A65"/>
    <w:rsid w:val="003B658A"/>
    <w:rsid w:val="003B6CCF"/>
    <w:rsid w:val="003B7272"/>
    <w:rsid w:val="003B7A52"/>
    <w:rsid w:val="003B7A73"/>
    <w:rsid w:val="003B7D3C"/>
    <w:rsid w:val="003C0C15"/>
    <w:rsid w:val="003C0DBC"/>
    <w:rsid w:val="003C13BB"/>
    <w:rsid w:val="003C2A90"/>
    <w:rsid w:val="003C349F"/>
    <w:rsid w:val="003C42DF"/>
    <w:rsid w:val="003C4E23"/>
    <w:rsid w:val="003C55C2"/>
    <w:rsid w:val="003C58DD"/>
    <w:rsid w:val="003C6675"/>
    <w:rsid w:val="003C6D16"/>
    <w:rsid w:val="003D00A6"/>
    <w:rsid w:val="003D03B0"/>
    <w:rsid w:val="003D210D"/>
    <w:rsid w:val="003D3251"/>
    <w:rsid w:val="003D3373"/>
    <w:rsid w:val="003D34F4"/>
    <w:rsid w:val="003D3B3F"/>
    <w:rsid w:val="003D46B6"/>
    <w:rsid w:val="003D4B50"/>
    <w:rsid w:val="003D4D48"/>
    <w:rsid w:val="003D559D"/>
    <w:rsid w:val="003D5A67"/>
    <w:rsid w:val="003D5E95"/>
    <w:rsid w:val="003E14E7"/>
    <w:rsid w:val="003E1951"/>
    <w:rsid w:val="003E217F"/>
    <w:rsid w:val="003E299D"/>
    <w:rsid w:val="003E2BF5"/>
    <w:rsid w:val="003E31A4"/>
    <w:rsid w:val="003E3B4B"/>
    <w:rsid w:val="003E3EE4"/>
    <w:rsid w:val="003E4A02"/>
    <w:rsid w:val="003E4F96"/>
    <w:rsid w:val="003E7DBD"/>
    <w:rsid w:val="003F0765"/>
    <w:rsid w:val="003F08AE"/>
    <w:rsid w:val="003F1224"/>
    <w:rsid w:val="003F30F0"/>
    <w:rsid w:val="003F3823"/>
    <w:rsid w:val="003F4127"/>
    <w:rsid w:val="003F4140"/>
    <w:rsid w:val="003F4B27"/>
    <w:rsid w:val="003F59B8"/>
    <w:rsid w:val="003F64A2"/>
    <w:rsid w:val="003F6626"/>
    <w:rsid w:val="003F6DFC"/>
    <w:rsid w:val="003F71D2"/>
    <w:rsid w:val="003F785F"/>
    <w:rsid w:val="003F7ECC"/>
    <w:rsid w:val="00400157"/>
    <w:rsid w:val="00400A76"/>
    <w:rsid w:val="004033C4"/>
    <w:rsid w:val="00403446"/>
    <w:rsid w:val="00403D08"/>
    <w:rsid w:val="00403FA1"/>
    <w:rsid w:val="00404BBC"/>
    <w:rsid w:val="00405A20"/>
    <w:rsid w:val="00406853"/>
    <w:rsid w:val="004072A6"/>
    <w:rsid w:val="0040768E"/>
    <w:rsid w:val="00407F71"/>
    <w:rsid w:val="00411013"/>
    <w:rsid w:val="00411DD9"/>
    <w:rsid w:val="004130A1"/>
    <w:rsid w:val="0041355A"/>
    <w:rsid w:val="004141BE"/>
    <w:rsid w:val="00414452"/>
    <w:rsid w:val="00415BDE"/>
    <w:rsid w:val="00415E67"/>
    <w:rsid w:val="004176F4"/>
    <w:rsid w:val="00417711"/>
    <w:rsid w:val="00420218"/>
    <w:rsid w:val="00420CBF"/>
    <w:rsid w:val="00421C84"/>
    <w:rsid w:val="00422D84"/>
    <w:rsid w:val="00422F1C"/>
    <w:rsid w:val="0042336B"/>
    <w:rsid w:val="00424C42"/>
    <w:rsid w:val="00425589"/>
    <w:rsid w:val="00426602"/>
    <w:rsid w:val="00426A19"/>
    <w:rsid w:val="00426C25"/>
    <w:rsid w:val="00426F20"/>
    <w:rsid w:val="00427F99"/>
    <w:rsid w:val="00430413"/>
    <w:rsid w:val="0043132D"/>
    <w:rsid w:val="00431B63"/>
    <w:rsid w:val="0043266A"/>
    <w:rsid w:val="00433B46"/>
    <w:rsid w:val="004342AD"/>
    <w:rsid w:val="00435B77"/>
    <w:rsid w:val="00435F29"/>
    <w:rsid w:val="00437B29"/>
    <w:rsid w:val="00437FE5"/>
    <w:rsid w:val="004421A8"/>
    <w:rsid w:val="00442F80"/>
    <w:rsid w:val="004449D2"/>
    <w:rsid w:val="00444A89"/>
    <w:rsid w:val="00445819"/>
    <w:rsid w:val="00445AE2"/>
    <w:rsid w:val="00446359"/>
    <w:rsid w:val="00446731"/>
    <w:rsid w:val="00446916"/>
    <w:rsid w:val="004473C8"/>
    <w:rsid w:val="00447D98"/>
    <w:rsid w:val="00450FBB"/>
    <w:rsid w:val="00451554"/>
    <w:rsid w:val="0045198D"/>
    <w:rsid w:val="00452B1C"/>
    <w:rsid w:val="004534B4"/>
    <w:rsid w:val="00454FE0"/>
    <w:rsid w:val="00455268"/>
    <w:rsid w:val="00455FB5"/>
    <w:rsid w:val="00456588"/>
    <w:rsid w:val="00456919"/>
    <w:rsid w:val="00456CFE"/>
    <w:rsid w:val="00460585"/>
    <w:rsid w:val="00461812"/>
    <w:rsid w:val="00461C94"/>
    <w:rsid w:val="00461DAF"/>
    <w:rsid w:val="00462B80"/>
    <w:rsid w:val="00462C23"/>
    <w:rsid w:val="0046341C"/>
    <w:rsid w:val="00464829"/>
    <w:rsid w:val="00464C0E"/>
    <w:rsid w:val="00465F16"/>
    <w:rsid w:val="0046607A"/>
    <w:rsid w:val="00466D41"/>
    <w:rsid w:val="004677F2"/>
    <w:rsid w:val="004678C4"/>
    <w:rsid w:val="004705E1"/>
    <w:rsid w:val="0047063C"/>
    <w:rsid w:val="004729B5"/>
    <w:rsid w:val="0047318B"/>
    <w:rsid w:val="00473374"/>
    <w:rsid w:val="0047359C"/>
    <w:rsid w:val="004744BA"/>
    <w:rsid w:val="004757A8"/>
    <w:rsid w:val="0047651B"/>
    <w:rsid w:val="0047661C"/>
    <w:rsid w:val="00477805"/>
    <w:rsid w:val="00477B8D"/>
    <w:rsid w:val="0048026D"/>
    <w:rsid w:val="00481DDE"/>
    <w:rsid w:val="00482553"/>
    <w:rsid w:val="00483124"/>
    <w:rsid w:val="004839C4"/>
    <w:rsid w:val="00483B91"/>
    <w:rsid w:val="00483B99"/>
    <w:rsid w:val="004847C9"/>
    <w:rsid w:val="00484B2D"/>
    <w:rsid w:val="00484DBC"/>
    <w:rsid w:val="00484E6F"/>
    <w:rsid w:val="004853D3"/>
    <w:rsid w:val="004861B6"/>
    <w:rsid w:val="0048744F"/>
    <w:rsid w:val="00487A99"/>
    <w:rsid w:val="00487D97"/>
    <w:rsid w:val="004901AA"/>
    <w:rsid w:val="004903DA"/>
    <w:rsid w:val="00491009"/>
    <w:rsid w:val="004929A7"/>
    <w:rsid w:val="004932F1"/>
    <w:rsid w:val="004939E3"/>
    <w:rsid w:val="0049586C"/>
    <w:rsid w:val="00496682"/>
    <w:rsid w:val="00496A38"/>
    <w:rsid w:val="00497A2C"/>
    <w:rsid w:val="004A05B4"/>
    <w:rsid w:val="004A05EB"/>
    <w:rsid w:val="004A0A1E"/>
    <w:rsid w:val="004A10E3"/>
    <w:rsid w:val="004A1CFD"/>
    <w:rsid w:val="004A23F3"/>
    <w:rsid w:val="004A31AB"/>
    <w:rsid w:val="004A3425"/>
    <w:rsid w:val="004A5807"/>
    <w:rsid w:val="004A5AA1"/>
    <w:rsid w:val="004A5DFA"/>
    <w:rsid w:val="004A644E"/>
    <w:rsid w:val="004A6719"/>
    <w:rsid w:val="004A6923"/>
    <w:rsid w:val="004A6A9A"/>
    <w:rsid w:val="004A70C1"/>
    <w:rsid w:val="004A75B8"/>
    <w:rsid w:val="004B0188"/>
    <w:rsid w:val="004B06C4"/>
    <w:rsid w:val="004B1085"/>
    <w:rsid w:val="004B1A1B"/>
    <w:rsid w:val="004B20DB"/>
    <w:rsid w:val="004B3102"/>
    <w:rsid w:val="004B3D91"/>
    <w:rsid w:val="004B3E1A"/>
    <w:rsid w:val="004B5F20"/>
    <w:rsid w:val="004B7971"/>
    <w:rsid w:val="004B7C90"/>
    <w:rsid w:val="004B7F59"/>
    <w:rsid w:val="004C0083"/>
    <w:rsid w:val="004C01DA"/>
    <w:rsid w:val="004C0649"/>
    <w:rsid w:val="004C1B5D"/>
    <w:rsid w:val="004C1FE5"/>
    <w:rsid w:val="004C253B"/>
    <w:rsid w:val="004C2D20"/>
    <w:rsid w:val="004C32A2"/>
    <w:rsid w:val="004C4E7F"/>
    <w:rsid w:val="004C5244"/>
    <w:rsid w:val="004C52B3"/>
    <w:rsid w:val="004C5D3F"/>
    <w:rsid w:val="004D0BA8"/>
    <w:rsid w:val="004D0DF2"/>
    <w:rsid w:val="004D287E"/>
    <w:rsid w:val="004D3BF5"/>
    <w:rsid w:val="004D3FD4"/>
    <w:rsid w:val="004D4597"/>
    <w:rsid w:val="004D5202"/>
    <w:rsid w:val="004D54B3"/>
    <w:rsid w:val="004D5BE8"/>
    <w:rsid w:val="004D7B6C"/>
    <w:rsid w:val="004D7C7D"/>
    <w:rsid w:val="004D7F58"/>
    <w:rsid w:val="004E09F6"/>
    <w:rsid w:val="004E141D"/>
    <w:rsid w:val="004E1A1D"/>
    <w:rsid w:val="004E209E"/>
    <w:rsid w:val="004E337F"/>
    <w:rsid w:val="004E40E2"/>
    <w:rsid w:val="004E40F0"/>
    <w:rsid w:val="004E4B70"/>
    <w:rsid w:val="004E4D58"/>
    <w:rsid w:val="004E4FAA"/>
    <w:rsid w:val="004E5F65"/>
    <w:rsid w:val="004E6461"/>
    <w:rsid w:val="004E6B25"/>
    <w:rsid w:val="004E6CFB"/>
    <w:rsid w:val="004E6FE5"/>
    <w:rsid w:val="004E7950"/>
    <w:rsid w:val="004E7D49"/>
    <w:rsid w:val="004F0203"/>
    <w:rsid w:val="004F0DB4"/>
    <w:rsid w:val="004F12CA"/>
    <w:rsid w:val="004F163B"/>
    <w:rsid w:val="004F1C7C"/>
    <w:rsid w:val="004F1FE5"/>
    <w:rsid w:val="004F2720"/>
    <w:rsid w:val="004F28FE"/>
    <w:rsid w:val="004F3029"/>
    <w:rsid w:val="004F3895"/>
    <w:rsid w:val="004F504E"/>
    <w:rsid w:val="004F5FF0"/>
    <w:rsid w:val="004F6528"/>
    <w:rsid w:val="004F6F0F"/>
    <w:rsid w:val="004F70C3"/>
    <w:rsid w:val="004F74DE"/>
    <w:rsid w:val="00500198"/>
    <w:rsid w:val="0050074B"/>
    <w:rsid w:val="00501D61"/>
    <w:rsid w:val="005028C2"/>
    <w:rsid w:val="00502C5C"/>
    <w:rsid w:val="00502F68"/>
    <w:rsid w:val="00503487"/>
    <w:rsid w:val="005037CB"/>
    <w:rsid w:val="00504D3C"/>
    <w:rsid w:val="00504E45"/>
    <w:rsid w:val="00504F0F"/>
    <w:rsid w:val="005052ED"/>
    <w:rsid w:val="005054B6"/>
    <w:rsid w:val="0050667C"/>
    <w:rsid w:val="00507047"/>
    <w:rsid w:val="005104F2"/>
    <w:rsid w:val="0051096D"/>
    <w:rsid w:val="00510B72"/>
    <w:rsid w:val="0051120A"/>
    <w:rsid w:val="0051128C"/>
    <w:rsid w:val="0051209F"/>
    <w:rsid w:val="0051319C"/>
    <w:rsid w:val="005138E0"/>
    <w:rsid w:val="00515169"/>
    <w:rsid w:val="00515675"/>
    <w:rsid w:val="00515C98"/>
    <w:rsid w:val="00516300"/>
    <w:rsid w:val="0051641A"/>
    <w:rsid w:val="00520969"/>
    <w:rsid w:val="0052199B"/>
    <w:rsid w:val="005226CF"/>
    <w:rsid w:val="00523739"/>
    <w:rsid w:val="005247B6"/>
    <w:rsid w:val="00526651"/>
    <w:rsid w:val="00527839"/>
    <w:rsid w:val="00527A72"/>
    <w:rsid w:val="00527D0B"/>
    <w:rsid w:val="00527D16"/>
    <w:rsid w:val="0053091E"/>
    <w:rsid w:val="00530A99"/>
    <w:rsid w:val="00531418"/>
    <w:rsid w:val="00532CD2"/>
    <w:rsid w:val="0053303A"/>
    <w:rsid w:val="00533D7B"/>
    <w:rsid w:val="00533E81"/>
    <w:rsid w:val="0053456B"/>
    <w:rsid w:val="00535587"/>
    <w:rsid w:val="00535910"/>
    <w:rsid w:val="005360BB"/>
    <w:rsid w:val="005364DC"/>
    <w:rsid w:val="00537BB3"/>
    <w:rsid w:val="00540DB8"/>
    <w:rsid w:val="00540F03"/>
    <w:rsid w:val="00541052"/>
    <w:rsid w:val="005424E8"/>
    <w:rsid w:val="00542C7C"/>
    <w:rsid w:val="00543BFF"/>
    <w:rsid w:val="00543DB1"/>
    <w:rsid w:val="0054493E"/>
    <w:rsid w:val="00545D9A"/>
    <w:rsid w:val="00545F5A"/>
    <w:rsid w:val="00545F78"/>
    <w:rsid w:val="00546D53"/>
    <w:rsid w:val="005500CB"/>
    <w:rsid w:val="00550257"/>
    <w:rsid w:val="0055221C"/>
    <w:rsid w:val="0055382C"/>
    <w:rsid w:val="00554CFD"/>
    <w:rsid w:val="00554D54"/>
    <w:rsid w:val="0055568D"/>
    <w:rsid w:val="005565CB"/>
    <w:rsid w:val="005569ED"/>
    <w:rsid w:val="005573B7"/>
    <w:rsid w:val="00557614"/>
    <w:rsid w:val="00557BE1"/>
    <w:rsid w:val="00557D3E"/>
    <w:rsid w:val="00560FC2"/>
    <w:rsid w:val="00561945"/>
    <w:rsid w:val="00561E8D"/>
    <w:rsid w:val="00561EA0"/>
    <w:rsid w:val="0056387A"/>
    <w:rsid w:val="005638D5"/>
    <w:rsid w:val="00563B64"/>
    <w:rsid w:val="00564AAD"/>
    <w:rsid w:val="00564E43"/>
    <w:rsid w:val="00564FE9"/>
    <w:rsid w:val="005660D1"/>
    <w:rsid w:val="00566B49"/>
    <w:rsid w:val="00566C24"/>
    <w:rsid w:val="00566C35"/>
    <w:rsid w:val="00567397"/>
    <w:rsid w:val="00567D04"/>
    <w:rsid w:val="005718E2"/>
    <w:rsid w:val="00571CFE"/>
    <w:rsid w:val="0057265A"/>
    <w:rsid w:val="00572741"/>
    <w:rsid w:val="00572A89"/>
    <w:rsid w:val="00573026"/>
    <w:rsid w:val="00574308"/>
    <w:rsid w:val="00574549"/>
    <w:rsid w:val="0057468F"/>
    <w:rsid w:val="00574B9B"/>
    <w:rsid w:val="00574D70"/>
    <w:rsid w:val="00574E30"/>
    <w:rsid w:val="0057591B"/>
    <w:rsid w:val="005762AC"/>
    <w:rsid w:val="005766D2"/>
    <w:rsid w:val="00577BAD"/>
    <w:rsid w:val="00577ECB"/>
    <w:rsid w:val="005807B1"/>
    <w:rsid w:val="005810B3"/>
    <w:rsid w:val="00581D7D"/>
    <w:rsid w:val="00582E48"/>
    <w:rsid w:val="00584063"/>
    <w:rsid w:val="0058475E"/>
    <w:rsid w:val="00586425"/>
    <w:rsid w:val="0058734D"/>
    <w:rsid w:val="005907C8"/>
    <w:rsid w:val="00590EDE"/>
    <w:rsid w:val="0059182F"/>
    <w:rsid w:val="00591E8F"/>
    <w:rsid w:val="00592E9C"/>
    <w:rsid w:val="00593071"/>
    <w:rsid w:val="005936F2"/>
    <w:rsid w:val="00594415"/>
    <w:rsid w:val="00594A85"/>
    <w:rsid w:val="00595BAB"/>
    <w:rsid w:val="00595C07"/>
    <w:rsid w:val="00595FA5"/>
    <w:rsid w:val="00596F62"/>
    <w:rsid w:val="00597135"/>
    <w:rsid w:val="00597F04"/>
    <w:rsid w:val="00597F11"/>
    <w:rsid w:val="005A082B"/>
    <w:rsid w:val="005A1D01"/>
    <w:rsid w:val="005A24D6"/>
    <w:rsid w:val="005A49AD"/>
    <w:rsid w:val="005A4CE4"/>
    <w:rsid w:val="005A5552"/>
    <w:rsid w:val="005A5B56"/>
    <w:rsid w:val="005A7210"/>
    <w:rsid w:val="005A7A9B"/>
    <w:rsid w:val="005B0914"/>
    <w:rsid w:val="005B0B21"/>
    <w:rsid w:val="005B1BFF"/>
    <w:rsid w:val="005B24C8"/>
    <w:rsid w:val="005B24F6"/>
    <w:rsid w:val="005B2812"/>
    <w:rsid w:val="005B2B91"/>
    <w:rsid w:val="005B4543"/>
    <w:rsid w:val="005B4EE4"/>
    <w:rsid w:val="005B62F1"/>
    <w:rsid w:val="005B6DD0"/>
    <w:rsid w:val="005B6DED"/>
    <w:rsid w:val="005C0865"/>
    <w:rsid w:val="005C1775"/>
    <w:rsid w:val="005C2453"/>
    <w:rsid w:val="005C271D"/>
    <w:rsid w:val="005C2A1D"/>
    <w:rsid w:val="005C2ACB"/>
    <w:rsid w:val="005C31C9"/>
    <w:rsid w:val="005C3FD4"/>
    <w:rsid w:val="005C44E1"/>
    <w:rsid w:val="005C47F7"/>
    <w:rsid w:val="005C4BA8"/>
    <w:rsid w:val="005C4D56"/>
    <w:rsid w:val="005C6198"/>
    <w:rsid w:val="005C6C23"/>
    <w:rsid w:val="005C6F34"/>
    <w:rsid w:val="005C7BA3"/>
    <w:rsid w:val="005D00E4"/>
    <w:rsid w:val="005D07E5"/>
    <w:rsid w:val="005D0C21"/>
    <w:rsid w:val="005D1ACB"/>
    <w:rsid w:val="005D1CF3"/>
    <w:rsid w:val="005D2E30"/>
    <w:rsid w:val="005D3C4E"/>
    <w:rsid w:val="005D3D32"/>
    <w:rsid w:val="005D4237"/>
    <w:rsid w:val="005D4FE2"/>
    <w:rsid w:val="005D687E"/>
    <w:rsid w:val="005D6A06"/>
    <w:rsid w:val="005D6AF9"/>
    <w:rsid w:val="005D7D07"/>
    <w:rsid w:val="005E02F1"/>
    <w:rsid w:val="005E0650"/>
    <w:rsid w:val="005E08C9"/>
    <w:rsid w:val="005E0C9E"/>
    <w:rsid w:val="005E0D71"/>
    <w:rsid w:val="005E1A0B"/>
    <w:rsid w:val="005E20DD"/>
    <w:rsid w:val="005E2363"/>
    <w:rsid w:val="005E3525"/>
    <w:rsid w:val="005E48D5"/>
    <w:rsid w:val="005E548B"/>
    <w:rsid w:val="005E5639"/>
    <w:rsid w:val="005E5900"/>
    <w:rsid w:val="005E5EEF"/>
    <w:rsid w:val="005E69FD"/>
    <w:rsid w:val="005E6A02"/>
    <w:rsid w:val="005E6B54"/>
    <w:rsid w:val="005E6DB5"/>
    <w:rsid w:val="005E6FAA"/>
    <w:rsid w:val="005E77E0"/>
    <w:rsid w:val="005F068B"/>
    <w:rsid w:val="005F074E"/>
    <w:rsid w:val="005F0C44"/>
    <w:rsid w:val="005F110A"/>
    <w:rsid w:val="005F1BB1"/>
    <w:rsid w:val="005F3163"/>
    <w:rsid w:val="005F32F3"/>
    <w:rsid w:val="005F3A3A"/>
    <w:rsid w:val="005F3B3A"/>
    <w:rsid w:val="005F583A"/>
    <w:rsid w:val="005F69A1"/>
    <w:rsid w:val="005F7E57"/>
    <w:rsid w:val="00600201"/>
    <w:rsid w:val="00600711"/>
    <w:rsid w:val="00600B92"/>
    <w:rsid w:val="006021D9"/>
    <w:rsid w:val="00602808"/>
    <w:rsid w:val="00602BA5"/>
    <w:rsid w:val="00603543"/>
    <w:rsid w:val="00603B1B"/>
    <w:rsid w:val="00605D63"/>
    <w:rsid w:val="0060610B"/>
    <w:rsid w:val="006103D7"/>
    <w:rsid w:val="00612150"/>
    <w:rsid w:val="0061274C"/>
    <w:rsid w:val="00612928"/>
    <w:rsid w:val="0061412C"/>
    <w:rsid w:val="006148F0"/>
    <w:rsid w:val="00615E2F"/>
    <w:rsid w:val="006176AA"/>
    <w:rsid w:val="00617E3D"/>
    <w:rsid w:val="00620B0A"/>
    <w:rsid w:val="00620DF6"/>
    <w:rsid w:val="0062183E"/>
    <w:rsid w:val="00622C09"/>
    <w:rsid w:val="0062300D"/>
    <w:rsid w:val="00623025"/>
    <w:rsid w:val="00623846"/>
    <w:rsid w:val="00623A4E"/>
    <w:rsid w:val="00623C59"/>
    <w:rsid w:val="00624D7E"/>
    <w:rsid w:val="0062577D"/>
    <w:rsid w:val="00626096"/>
    <w:rsid w:val="00627A07"/>
    <w:rsid w:val="006301B3"/>
    <w:rsid w:val="00630236"/>
    <w:rsid w:val="006303B9"/>
    <w:rsid w:val="006303D8"/>
    <w:rsid w:val="00631432"/>
    <w:rsid w:val="0063219A"/>
    <w:rsid w:val="0063239D"/>
    <w:rsid w:val="00632708"/>
    <w:rsid w:val="00632977"/>
    <w:rsid w:val="00633139"/>
    <w:rsid w:val="00633DFE"/>
    <w:rsid w:val="00634797"/>
    <w:rsid w:val="00634B58"/>
    <w:rsid w:val="006356B5"/>
    <w:rsid w:val="00636D5C"/>
    <w:rsid w:val="00637EF3"/>
    <w:rsid w:val="0064053C"/>
    <w:rsid w:val="00640608"/>
    <w:rsid w:val="006409F8"/>
    <w:rsid w:val="00640B3D"/>
    <w:rsid w:val="00640B4D"/>
    <w:rsid w:val="00641807"/>
    <w:rsid w:val="00641859"/>
    <w:rsid w:val="0064191F"/>
    <w:rsid w:val="00641979"/>
    <w:rsid w:val="00642BBE"/>
    <w:rsid w:val="00643296"/>
    <w:rsid w:val="00643D76"/>
    <w:rsid w:val="00644C4A"/>
    <w:rsid w:val="00644EF7"/>
    <w:rsid w:val="00645C2C"/>
    <w:rsid w:val="006461BA"/>
    <w:rsid w:val="00646259"/>
    <w:rsid w:val="006462A0"/>
    <w:rsid w:val="00650302"/>
    <w:rsid w:val="00650827"/>
    <w:rsid w:val="00650B6F"/>
    <w:rsid w:val="00650DC5"/>
    <w:rsid w:val="006518A6"/>
    <w:rsid w:val="00652888"/>
    <w:rsid w:val="00653650"/>
    <w:rsid w:val="00653888"/>
    <w:rsid w:val="00653FF4"/>
    <w:rsid w:val="00655058"/>
    <w:rsid w:val="00656145"/>
    <w:rsid w:val="00657BE2"/>
    <w:rsid w:val="006604AE"/>
    <w:rsid w:val="00660928"/>
    <w:rsid w:val="00661369"/>
    <w:rsid w:val="00661E50"/>
    <w:rsid w:val="00661FE7"/>
    <w:rsid w:val="0066382B"/>
    <w:rsid w:val="00663B5D"/>
    <w:rsid w:val="006642D0"/>
    <w:rsid w:val="00664616"/>
    <w:rsid w:val="006648EB"/>
    <w:rsid w:val="00665269"/>
    <w:rsid w:val="006656A8"/>
    <w:rsid w:val="006662BC"/>
    <w:rsid w:val="0066642A"/>
    <w:rsid w:val="00666774"/>
    <w:rsid w:val="00666796"/>
    <w:rsid w:val="00667B4D"/>
    <w:rsid w:val="00667B53"/>
    <w:rsid w:val="00667DCA"/>
    <w:rsid w:val="00667FB8"/>
    <w:rsid w:val="006708E2"/>
    <w:rsid w:val="006709BE"/>
    <w:rsid w:val="00670AF0"/>
    <w:rsid w:val="00670EE0"/>
    <w:rsid w:val="006710CB"/>
    <w:rsid w:val="006714A9"/>
    <w:rsid w:val="0067152D"/>
    <w:rsid w:val="00672430"/>
    <w:rsid w:val="00674466"/>
    <w:rsid w:val="006744B5"/>
    <w:rsid w:val="006751EF"/>
    <w:rsid w:val="00675559"/>
    <w:rsid w:val="0067698A"/>
    <w:rsid w:val="00676F5D"/>
    <w:rsid w:val="00677287"/>
    <w:rsid w:val="00677EDC"/>
    <w:rsid w:val="0068026C"/>
    <w:rsid w:val="0068085F"/>
    <w:rsid w:val="00680DE8"/>
    <w:rsid w:val="00681173"/>
    <w:rsid w:val="00681A4B"/>
    <w:rsid w:val="00681BE8"/>
    <w:rsid w:val="00682987"/>
    <w:rsid w:val="00682FBD"/>
    <w:rsid w:val="00683B92"/>
    <w:rsid w:val="006848F5"/>
    <w:rsid w:val="00684E45"/>
    <w:rsid w:val="006857F5"/>
    <w:rsid w:val="00685D76"/>
    <w:rsid w:val="00686351"/>
    <w:rsid w:val="0068728B"/>
    <w:rsid w:val="006876A5"/>
    <w:rsid w:val="00687FF9"/>
    <w:rsid w:val="006905DE"/>
    <w:rsid w:val="00690D9C"/>
    <w:rsid w:val="00690F43"/>
    <w:rsid w:val="00692F45"/>
    <w:rsid w:val="00693CE4"/>
    <w:rsid w:val="00694016"/>
    <w:rsid w:val="00694992"/>
    <w:rsid w:val="00695480"/>
    <w:rsid w:val="006959A2"/>
    <w:rsid w:val="006960B9"/>
    <w:rsid w:val="006A06AC"/>
    <w:rsid w:val="006A26F3"/>
    <w:rsid w:val="006A2AEF"/>
    <w:rsid w:val="006A3840"/>
    <w:rsid w:val="006A4C41"/>
    <w:rsid w:val="006A4E86"/>
    <w:rsid w:val="006A5DF3"/>
    <w:rsid w:val="006A6332"/>
    <w:rsid w:val="006A6709"/>
    <w:rsid w:val="006B0E03"/>
    <w:rsid w:val="006B10A4"/>
    <w:rsid w:val="006B1F6F"/>
    <w:rsid w:val="006B42A1"/>
    <w:rsid w:val="006B438B"/>
    <w:rsid w:val="006B4F31"/>
    <w:rsid w:val="006B635F"/>
    <w:rsid w:val="006B6E87"/>
    <w:rsid w:val="006B708B"/>
    <w:rsid w:val="006B77A7"/>
    <w:rsid w:val="006B77E3"/>
    <w:rsid w:val="006B7A7A"/>
    <w:rsid w:val="006C00DA"/>
    <w:rsid w:val="006C07FA"/>
    <w:rsid w:val="006C115E"/>
    <w:rsid w:val="006C191C"/>
    <w:rsid w:val="006C1E37"/>
    <w:rsid w:val="006C3CF6"/>
    <w:rsid w:val="006C50C0"/>
    <w:rsid w:val="006C55DE"/>
    <w:rsid w:val="006C749B"/>
    <w:rsid w:val="006C79E0"/>
    <w:rsid w:val="006D01B9"/>
    <w:rsid w:val="006D14FF"/>
    <w:rsid w:val="006D19DD"/>
    <w:rsid w:val="006D19F5"/>
    <w:rsid w:val="006D2A85"/>
    <w:rsid w:val="006D3016"/>
    <w:rsid w:val="006D3BE1"/>
    <w:rsid w:val="006D47EF"/>
    <w:rsid w:val="006D5A55"/>
    <w:rsid w:val="006D615B"/>
    <w:rsid w:val="006E01EB"/>
    <w:rsid w:val="006E0705"/>
    <w:rsid w:val="006E0DD5"/>
    <w:rsid w:val="006E18AE"/>
    <w:rsid w:val="006E1AEF"/>
    <w:rsid w:val="006E274F"/>
    <w:rsid w:val="006E2CCD"/>
    <w:rsid w:val="006E3D4B"/>
    <w:rsid w:val="006E3E49"/>
    <w:rsid w:val="006E5655"/>
    <w:rsid w:val="006E67D0"/>
    <w:rsid w:val="006E68AF"/>
    <w:rsid w:val="006E6DE4"/>
    <w:rsid w:val="006F0F7A"/>
    <w:rsid w:val="006F107E"/>
    <w:rsid w:val="006F12E6"/>
    <w:rsid w:val="006F23FE"/>
    <w:rsid w:val="006F3372"/>
    <w:rsid w:val="006F33E4"/>
    <w:rsid w:val="006F3564"/>
    <w:rsid w:val="006F4149"/>
    <w:rsid w:val="006F42D2"/>
    <w:rsid w:val="006F517F"/>
    <w:rsid w:val="006F58A3"/>
    <w:rsid w:val="006F5B25"/>
    <w:rsid w:val="006F6F1A"/>
    <w:rsid w:val="007004B5"/>
    <w:rsid w:val="00700789"/>
    <w:rsid w:val="00701BB5"/>
    <w:rsid w:val="00701C9F"/>
    <w:rsid w:val="00702DE1"/>
    <w:rsid w:val="00704141"/>
    <w:rsid w:val="00704188"/>
    <w:rsid w:val="007065B1"/>
    <w:rsid w:val="0070685C"/>
    <w:rsid w:val="00707090"/>
    <w:rsid w:val="00707692"/>
    <w:rsid w:val="00707D66"/>
    <w:rsid w:val="00710245"/>
    <w:rsid w:val="00710E31"/>
    <w:rsid w:val="00711F03"/>
    <w:rsid w:val="007132EE"/>
    <w:rsid w:val="007147EF"/>
    <w:rsid w:val="00716AF5"/>
    <w:rsid w:val="007170DB"/>
    <w:rsid w:val="00720742"/>
    <w:rsid w:val="0072118D"/>
    <w:rsid w:val="00721865"/>
    <w:rsid w:val="00722E96"/>
    <w:rsid w:val="00723C54"/>
    <w:rsid w:val="007263C8"/>
    <w:rsid w:val="00727FAA"/>
    <w:rsid w:val="00730AAA"/>
    <w:rsid w:val="0073272E"/>
    <w:rsid w:val="00732D3C"/>
    <w:rsid w:val="00732EF0"/>
    <w:rsid w:val="00733627"/>
    <w:rsid w:val="007341B1"/>
    <w:rsid w:val="00734E92"/>
    <w:rsid w:val="00735359"/>
    <w:rsid w:val="0073597B"/>
    <w:rsid w:val="00735CF5"/>
    <w:rsid w:val="00736EFD"/>
    <w:rsid w:val="00737965"/>
    <w:rsid w:val="00740E39"/>
    <w:rsid w:val="007410F3"/>
    <w:rsid w:val="00741816"/>
    <w:rsid w:val="00741D38"/>
    <w:rsid w:val="007421A2"/>
    <w:rsid w:val="007427ED"/>
    <w:rsid w:val="007433E8"/>
    <w:rsid w:val="007434BA"/>
    <w:rsid w:val="00743CB9"/>
    <w:rsid w:val="007462F1"/>
    <w:rsid w:val="00746BB9"/>
    <w:rsid w:val="00752723"/>
    <w:rsid w:val="00755373"/>
    <w:rsid w:val="0075648E"/>
    <w:rsid w:val="00761329"/>
    <w:rsid w:val="00761C3F"/>
    <w:rsid w:val="00761C6D"/>
    <w:rsid w:val="00761E9D"/>
    <w:rsid w:val="0076289E"/>
    <w:rsid w:val="00762A6C"/>
    <w:rsid w:val="007630A8"/>
    <w:rsid w:val="00764D34"/>
    <w:rsid w:val="00765255"/>
    <w:rsid w:val="00766747"/>
    <w:rsid w:val="00766E3D"/>
    <w:rsid w:val="00771281"/>
    <w:rsid w:val="00771805"/>
    <w:rsid w:val="0077232F"/>
    <w:rsid w:val="00772572"/>
    <w:rsid w:val="00772C48"/>
    <w:rsid w:val="007736D4"/>
    <w:rsid w:val="00774C8B"/>
    <w:rsid w:val="007754B0"/>
    <w:rsid w:val="0077600F"/>
    <w:rsid w:val="00776D92"/>
    <w:rsid w:val="0077714C"/>
    <w:rsid w:val="007774CA"/>
    <w:rsid w:val="007776B3"/>
    <w:rsid w:val="00777E06"/>
    <w:rsid w:val="00777F63"/>
    <w:rsid w:val="0078064E"/>
    <w:rsid w:val="0078115B"/>
    <w:rsid w:val="00782374"/>
    <w:rsid w:val="00782FD3"/>
    <w:rsid w:val="007850E8"/>
    <w:rsid w:val="00785496"/>
    <w:rsid w:val="00786A1A"/>
    <w:rsid w:val="00786ECC"/>
    <w:rsid w:val="00787922"/>
    <w:rsid w:val="00787C83"/>
    <w:rsid w:val="007903F7"/>
    <w:rsid w:val="00790B4D"/>
    <w:rsid w:val="00791CD2"/>
    <w:rsid w:val="007933CD"/>
    <w:rsid w:val="007940D9"/>
    <w:rsid w:val="00794631"/>
    <w:rsid w:val="0079496E"/>
    <w:rsid w:val="007951A6"/>
    <w:rsid w:val="0079598C"/>
    <w:rsid w:val="007A01E8"/>
    <w:rsid w:val="007A3830"/>
    <w:rsid w:val="007A3BA6"/>
    <w:rsid w:val="007A3DEA"/>
    <w:rsid w:val="007A582A"/>
    <w:rsid w:val="007A5AC6"/>
    <w:rsid w:val="007A5FAC"/>
    <w:rsid w:val="007B0C4B"/>
    <w:rsid w:val="007B1641"/>
    <w:rsid w:val="007B2816"/>
    <w:rsid w:val="007B2AB5"/>
    <w:rsid w:val="007B2F64"/>
    <w:rsid w:val="007B32E9"/>
    <w:rsid w:val="007B3ABC"/>
    <w:rsid w:val="007B5B7A"/>
    <w:rsid w:val="007B5E20"/>
    <w:rsid w:val="007B6995"/>
    <w:rsid w:val="007B6A49"/>
    <w:rsid w:val="007B7029"/>
    <w:rsid w:val="007B7B7C"/>
    <w:rsid w:val="007C006B"/>
    <w:rsid w:val="007C022E"/>
    <w:rsid w:val="007C2856"/>
    <w:rsid w:val="007C2B02"/>
    <w:rsid w:val="007C2BF9"/>
    <w:rsid w:val="007C2E8A"/>
    <w:rsid w:val="007C4DAE"/>
    <w:rsid w:val="007C53AB"/>
    <w:rsid w:val="007C56CD"/>
    <w:rsid w:val="007C667D"/>
    <w:rsid w:val="007C6F5B"/>
    <w:rsid w:val="007C7663"/>
    <w:rsid w:val="007D0583"/>
    <w:rsid w:val="007D0699"/>
    <w:rsid w:val="007D0B66"/>
    <w:rsid w:val="007D0FCB"/>
    <w:rsid w:val="007D2451"/>
    <w:rsid w:val="007D29FE"/>
    <w:rsid w:val="007D356D"/>
    <w:rsid w:val="007D3A4B"/>
    <w:rsid w:val="007D3DF4"/>
    <w:rsid w:val="007D3F38"/>
    <w:rsid w:val="007D4026"/>
    <w:rsid w:val="007D58B0"/>
    <w:rsid w:val="007D7679"/>
    <w:rsid w:val="007E0444"/>
    <w:rsid w:val="007E16E6"/>
    <w:rsid w:val="007E25FA"/>
    <w:rsid w:val="007E6B0A"/>
    <w:rsid w:val="007E6C65"/>
    <w:rsid w:val="007F033D"/>
    <w:rsid w:val="007F03C7"/>
    <w:rsid w:val="007F09B9"/>
    <w:rsid w:val="007F1371"/>
    <w:rsid w:val="007F173F"/>
    <w:rsid w:val="007F1FCD"/>
    <w:rsid w:val="007F2273"/>
    <w:rsid w:val="007F2CF7"/>
    <w:rsid w:val="007F2EAF"/>
    <w:rsid w:val="007F3B4C"/>
    <w:rsid w:val="007F4820"/>
    <w:rsid w:val="007F4B61"/>
    <w:rsid w:val="007F4C2D"/>
    <w:rsid w:val="007F5CF4"/>
    <w:rsid w:val="007F6E06"/>
    <w:rsid w:val="008003E6"/>
    <w:rsid w:val="00800910"/>
    <w:rsid w:val="00800F98"/>
    <w:rsid w:val="0080121C"/>
    <w:rsid w:val="008015E2"/>
    <w:rsid w:val="008018EB"/>
    <w:rsid w:val="008028E6"/>
    <w:rsid w:val="00802D04"/>
    <w:rsid w:val="00802F7D"/>
    <w:rsid w:val="00803B36"/>
    <w:rsid w:val="0080410D"/>
    <w:rsid w:val="00804490"/>
    <w:rsid w:val="008054DD"/>
    <w:rsid w:val="0080559C"/>
    <w:rsid w:val="008066F5"/>
    <w:rsid w:val="0080703C"/>
    <w:rsid w:val="00807C2C"/>
    <w:rsid w:val="00811338"/>
    <w:rsid w:val="00811702"/>
    <w:rsid w:val="00811B29"/>
    <w:rsid w:val="0081363E"/>
    <w:rsid w:val="00813A4B"/>
    <w:rsid w:val="00813CFF"/>
    <w:rsid w:val="00813DB2"/>
    <w:rsid w:val="00814F06"/>
    <w:rsid w:val="008151BE"/>
    <w:rsid w:val="008152F1"/>
    <w:rsid w:val="00817D46"/>
    <w:rsid w:val="00821526"/>
    <w:rsid w:val="00821808"/>
    <w:rsid w:val="00821E15"/>
    <w:rsid w:val="00822E18"/>
    <w:rsid w:val="00824081"/>
    <w:rsid w:val="0082456E"/>
    <w:rsid w:val="00824F88"/>
    <w:rsid w:val="00827340"/>
    <w:rsid w:val="00827A70"/>
    <w:rsid w:val="00827E82"/>
    <w:rsid w:val="00827FF6"/>
    <w:rsid w:val="0083014F"/>
    <w:rsid w:val="00831071"/>
    <w:rsid w:val="00832401"/>
    <w:rsid w:val="00832CAF"/>
    <w:rsid w:val="00833412"/>
    <w:rsid w:val="00833744"/>
    <w:rsid w:val="00833B33"/>
    <w:rsid w:val="00833B95"/>
    <w:rsid w:val="0083425D"/>
    <w:rsid w:val="00834804"/>
    <w:rsid w:val="008349C7"/>
    <w:rsid w:val="00834EC9"/>
    <w:rsid w:val="00834FDF"/>
    <w:rsid w:val="00835B53"/>
    <w:rsid w:val="00835BC1"/>
    <w:rsid w:val="008375C6"/>
    <w:rsid w:val="0083763C"/>
    <w:rsid w:val="0083773C"/>
    <w:rsid w:val="00841017"/>
    <w:rsid w:val="00843060"/>
    <w:rsid w:val="00843379"/>
    <w:rsid w:val="00844223"/>
    <w:rsid w:val="0084469E"/>
    <w:rsid w:val="00845192"/>
    <w:rsid w:val="00845931"/>
    <w:rsid w:val="00847143"/>
    <w:rsid w:val="00847873"/>
    <w:rsid w:val="008478D6"/>
    <w:rsid w:val="008501DB"/>
    <w:rsid w:val="00850798"/>
    <w:rsid w:val="00852B89"/>
    <w:rsid w:val="00853037"/>
    <w:rsid w:val="00853958"/>
    <w:rsid w:val="008552FB"/>
    <w:rsid w:val="00861707"/>
    <w:rsid w:val="0086262A"/>
    <w:rsid w:val="008630E6"/>
    <w:rsid w:val="0086347D"/>
    <w:rsid w:val="00863714"/>
    <w:rsid w:val="0086384E"/>
    <w:rsid w:val="00863E52"/>
    <w:rsid w:val="008640D6"/>
    <w:rsid w:val="00864283"/>
    <w:rsid w:val="00864802"/>
    <w:rsid w:val="00864803"/>
    <w:rsid w:val="00864E7C"/>
    <w:rsid w:val="008655FB"/>
    <w:rsid w:val="00865730"/>
    <w:rsid w:val="00866534"/>
    <w:rsid w:val="00866BA2"/>
    <w:rsid w:val="0086726E"/>
    <w:rsid w:val="008672A5"/>
    <w:rsid w:val="00871012"/>
    <w:rsid w:val="0087116B"/>
    <w:rsid w:val="00871677"/>
    <w:rsid w:val="00872C5F"/>
    <w:rsid w:val="00872CC3"/>
    <w:rsid w:val="008735AD"/>
    <w:rsid w:val="00874369"/>
    <w:rsid w:val="00874C25"/>
    <w:rsid w:val="0087578E"/>
    <w:rsid w:val="00875AE3"/>
    <w:rsid w:val="00876404"/>
    <w:rsid w:val="0087642F"/>
    <w:rsid w:val="008766E6"/>
    <w:rsid w:val="00876E28"/>
    <w:rsid w:val="00876E70"/>
    <w:rsid w:val="00877AF8"/>
    <w:rsid w:val="00880586"/>
    <w:rsid w:val="0088161B"/>
    <w:rsid w:val="00881C81"/>
    <w:rsid w:val="0088214F"/>
    <w:rsid w:val="00882280"/>
    <w:rsid w:val="00886423"/>
    <w:rsid w:val="008868A4"/>
    <w:rsid w:val="00887AA5"/>
    <w:rsid w:val="00890656"/>
    <w:rsid w:val="00890A79"/>
    <w:rsid w:val="00890CA7"/>
    <w:rsid w:val="00891A88"/>
    <w:rsid w:val="00891C94"/>
    <w:rsid w:val="008921B8"/>
    <w:rsid w:val="008929CD"/>
    <w:rsid w:val="00893663"/>
    <w:rsid w:val="0089368A"/>
    <w:rsid w:val="0089375B"/>
    <w:rsid w:val="00893A1B"/>
    <w:rsid w:val="00893AF1"/>
    <w:rsid w:val="0089460F"/>
    <w:rsid w:val="00894815"/>
    <w:rsid w:val="00896807"/>
    <w:rsid w:val="00896F18"/>
    <w:rsid w:val="00897FFB"/>
    <w:rsid w:val="008A0F9E"/>
    <w:rsid w:val="008A27BC"/>
    <w:rsid w:val="008A2B3E"/>
    <w:rsid w:val="008A33DF"/>
    <w:rsid w:val="008A39B6"/>
    <w:rsid w:val="008A4AE6"/>
    <w:rsid w:val="008A4D38"/>
    <w:rsid w:val="008A5121"/>
    <w:rsid w:val="008A593D"/>
    <w:rsid w:val="008A5B3D"/>
    <w:rsid w:val="008A71E5"/>
    <w:rsid w:val="008A72B6"/>
    <w:rsid w:val="008A771B"/>
    <w:rsid w:val="008A7B43"/>
    <w:rsid w:val="008B017F"/>
    <w:rsid w:val="008B05F2"/>
    <w:rsid w:val="008B2B4E"/>
    <w:rsid w:val="008B30DF"/>
    <w:rsid w:val="008B32EE"/>
    <w:rsid w:val="008B4091"/>
    <w:rsid w:val="008B4429"/>
    <w:rsid w:val="008B55CB"/>
    <w:rsid w:val="008B5B26"/>
    <w:rsid w:val="008B7536"/>
    <w:rsid w:val="008B7B9E"/>
    <w:rsid w:val="008C2079"/>
    <w:rsid w:val="008C354E"/>
    <w:rsid w:val="008C3C62"/>
    <w:rsid w:val="008C4188"/>
    <w:rsid w:val="008C5242"/>
    <w:rsid w:val="008C5246"/>
    <w:rsid w:val="008C5B2B"/>
    <w:rsid w:val="008C6887"/>
    <w:rsid w:val="008C6C8A"/>
    <w:rsid w:val="008D01E0"/>
    <w:rsid w:val="008D031F"/>
    <w:rsid w:val="008D0E17"/>
    <w:rsid w:val="008D1E45"/>
    <w:rsid w:val="008D2205"/>
    <w:rsid w:val="008D2A46"/>
    <w:rsid w:val="008D35F1"/>
    <w:rsid w:val="008D3AAC"/>
    <w:rsid w:val="008D4111"/>
    <w:rsid w:val="008D53AB"/>
    <w:rsid w:val="008D6E46"/>
    <w:rsid w:val="008D734B"/>
    <w:rsid w:val="008D73D2"/>
    <w:rsid w:val="008D7B78"/>
    <w:rsid w:val="008D7C95"/>
    <w:rsid w:val="008E3766"/>
    <w:rsid w:val="008E3795"/>
    <w:rsid w:val="008E37AC"/>
    <w:rsid w:val="008E5499"/>
    <w:rsid w:val="008E5569"/>
    <w:rsid w:val="008E5B8C"/>
    <w:rsid w:val="008E69B4"/>
    <w:rsid w:val="008E736C"/>
    <w:rsid w:val="008F266E"/>
    <w:rsid w:val="008F2880"/>
    <w:rsid w:val="008F3227"/>
    <w:rsid w:val="008F3AD6"/>
    <w:rsid w:val="008F52BB"/>
    <w:rsid w:val="008F5EF1"/>
    <w:rsid w:val="008F6135"/>
    <w:rsid w:val="008F7169"/>
    <w:rsid w:val="008F79F1"/>
    <w:rsid w:val="0090003E"/>
    <w:rsid w:val="009005FA"/>
    <w:rsid w:val="00900682"/>
    <w:rsid w:val="00900790"/>
    <w:rsid w:val="00900B22"/>
    <w:rsid w:val="00900BFE"/>
    <w:rsid w:val="009016DF"/>
    <w:rsid w:val="00902814"/>
    <w:rsid w:val="009033B0"/>
    <w:rsid w:val="00904092"/>
    <w:rsid w:val="00904BCB"/>
    <w:rsid w:val="009057C8"/>
    <w:rsid w:val="00906AAC"/>
    <w:rsid w:val="0090709D"/>
    <w:rsid w:val="009070B7"/>
    <w:rsid w:val="00907CCA"/>
    <w:rsid w:val="009100C2"/>
    <w:rsid w:val="0091020F"/>
    <w:rsid w:val="00910C00"/>
    <w:rsid w:val="00910D27"/>
    <w:rsid w:val="00910D88"/>
    <w:rsid w:val="00911336"/>
    <w:rsid w:val="00913BAF"/>
    <w:rsid w:val="00914E8D"/>
    <w:rsid w:val="009156AB"/>
    <w:rsid w:val="00915890"/>
    <w:rsid w:val="0091634E"/>
    <w:rsid w:val="0091700D"/>
    <w:rsid w:val="009177C2"/>
    <w:rsid w:val="00920C5C"/>
    <w:rsid w:val="00921F6B"/>
    <w:rsid w:val="00922F1F"/>
    <w:rsid w:val="00923568"/>
    <w:rsid w:val="00923690"/>
    <w:rsid w:val="00923A9A"/>
    <w:rsid w:val="00923E4B"/>
    <w:rsid w:val="00924023"/>
    <w:rsid w:val="00924084"/>
    <w:rsid w:val="00924E90"/>
    <w:rsid w:val="009261E1"/>
    <w:rsid w:val="0092639F"/>
    <w:rsid w:val="009269D5"/>
    <w:rsid w:val="009276A9"/>
    <w:rsid w:val="00927F5C"/>
    <w:rsid w:val="00931C89"/>
    <w:rsid w:val="00931CC0"/>
    <w:rsid w:val="00932840"/>
    <w:rsid w:val="00932988"/>
    <w:rsid w:val="00932AA2"/>
    <w:rsid w:val="0093371D"/>
    <w:rsid w:val="00933D35"/>
    <w:rsid w:val="00934230"/>
    <w:rsid w:val="0093430A"/>
    <w:rsid w:val="00936C37"/>
    <w:rsid w:val="00937374"/>
    <w:rsid w:val="009409D3"/>
    <w:rsid w:val="0094174B"/>
    <w:rsid w:val="00941EB6"/>
    <w:rsid w:val="0094237A"/>
    <w:rsid w:val="00943283"/>
    <w:rsid w:val="00943F5A"/>
    <w:rsid w:val="009440E6"/>
    <w:rsid w:val="009448EE"/>
    <w:rsid w:val="00944EB5"/>
    <w:rsid w:val="00945755"/>
    <w:rsid w:val="00945B09"/>
    <w:rsid w:val="009464BB"/>
    <w:rsid w:val="0094657E"/>
    <w:rsid w:val="00946606"/>
    <w:rsid w:val="009471F9"/>
    <w:rsid w:val="00947333"/>
    <w:rsid w:val="009473A4"/>
    <w:rsid w:val="00950605"/>
    <w:rsid w:val="00950941"/>
    <w:rsid w:val="00950AE9"/>
    <w:rsid w:val="00950B80"/>
    <w:rsid w:val="00950C6E"/>
    <w:rsid w:val="009527AB"/>
    <w:rsid w:val="00952D5C"/>
    <w:rsid w:val="00952D9E"/>
    <w:rsid w:val="0095482E"/>
    <w:rsid w:val="009549E2"/>
    <w:rsid w:val="0095504D"/>
    <w:rsid w:val="0095598A"/>
    <w:rsid w:val="009559DC"/>
    <w:rsid w:val="00955B04"/>
    <w:rsid w:val="00955F84"/>
    <w:rsid w:val="0095765D"/>
    <w:rsid w:val="00957C16"/>
    <w:rsid w:val="009604A4"/>
    <w:rsid w:val="009606AC"/>
    <w:rsid w:val="00960963"/>
    <w:rsid w:val="00963137"/>
    <w:rsid w:val="009644CB"/>
    <w:rsid w:val="009645FD"/>
    <w:rsid w:val="00964F3D"/>
    <w:rsid w:val="00965DCE"/>
    <w:rsid w:val="00966499"/>
    <w:rsid w:val="00967B4E"/>
    <w:rsid w:val="009700BE"/>
    <w:rsid w:val="009703C9"/>
    <w:rsid w:val="00970724"/>
    <w:rsid w:val="0097087D"/>
    <w:rsid w:val="00970C5C"/>
    <w:rsid w:val="00970E16"/>
    <w:rsid w:val="009713F0"/>
    <w:rsid w:val="009714DD"/>
    <w:rsid w:val="00971E77"/>
    <w:rsid w:val="00971F6E"/>
    <w:rsid w:val="00973C7C"/>
    <w:rsid w:val="00974CA2"/>
    <w:rsid w:val="009755AA"/>
    <w:rsid w:val="0097617D"/>
    <w:rsid w:val="0097673F"/>
    <w:rsid w:val="00976B29"/>
    <w:rsid w:val="00976BFC"/>
    <w:rsid w:val="009774CE"/>
    <w:rsid w:val="009776F0"/>
    <w:rsid w:val="009806FE"/>
    <w:rsid w:val="009808DD"/>
    <w:rsid w:val="00981A0A"/>
    <w:rsid w:val="00982235"/>
    <w:rsid w:val="00982641"/>
    <w:rsid w:val="00982CC0"/>
    <w:rsid w:val="00982F56"/>
    <w:rsid w:val="00983099"/>
    <w:rsid w:val="009835AE"/>
    <w:rsid w:val="009839DA"/>
    <w:rsid w:val="00986164"/>
    <w:rsid w:val="00987DD5"/>
    <w:rsid w:val="00990402"/>
    <w:rsid w:val="00990503"/>
    <w:rsid w:val="0099153B"/>
    <w:rsid w:val="009918F1"/>
    <w:rsid w:val="0099262D"/>
    <w:rsid w:val="00992C45"/>
    <w:rsid w:val="00993611"/>
    <w:rsid w:val="00993C1C"/>
    <w:rsid w:val="00994835"/>
    <w:rsid w:val="00994D15"/>
    <w:rsid w:val="00995461"/>
    <w:rsid w:val="009960F8"/>
    <w:rsid w:val="009964D7"/>
    <w:rsid w:val="00996A61"/>
    <w:rsid w:val="009976E5"/>
    <w:rsid w:val="00997A16"/>
    <w:rsid w:val="009A0784"/>
    <w:rsid w:val="009A2229"/>
    <w:rsid w:val="009A2782"/>
    <w:rsid w:val="009A2C32"/>
    <w:rsid w:val="009A341A"/>
    <w:rsid w:val="009A3428"/>
    <w:rsid w:val="009A3A36"/>
    <w:rsid w:val="009A5728"/>
    <w:rsid w:val="009A6465"/>
    <w:rsid w:val="009A66A0"/>
    <w:rsid w:val="009A6D3D"/>
    <w:rsid w:val="009B1DC5"/>
    <w:rsid w:val="009B1E4B"/>
    <w:rsid w:val="009B24AB"/>
    <w:rsid w:val="009B28D9"/>
    <w:rsid w:val="009B325B"/>
    <w:rsid w:val="009B36D4"/>
    <w:rsid w:val="009B3B9A"/>
    <w:rsid w:val="009B4534"/>
    <w:rsid w:val="009B51D9"/>
    <w:rsid w:val="009B5C5D"/>
    <w:rsid w:val="009B60AA"/>
    <w:rsid w:val="009B62E9"/>
    <w:rsid w:val="009C03E4"/>
    <w:rsid w:val="009C1F0F"/>
    <w:rsid w:val="009C27C9"/>
    <w:rsid w:val="009C2DB5"/>
    <w:rsid w:val="009C3042"/>
    <w:rsid w:val="009C4079"/>
    <w:rsid w:val="009C4BEF"/>
    <w:rsid w:val="009C5566"/>
    <w:rsid w:val="009C56C1"/>
    <w:rsid w:val="009C5810"/>
    <w:rsid w:val="009C5A4A"/>
    <w:rsid w:val="009C6B34"/>
    <w:rsid w:val="009C7BE2"/>
    <w:rsid w:val="009D102E"/>
    <w:rsid w:val="009D1183"/>
    <w:rsid w:val="009D2A80"/>
    <w:rsid w:val="009D2D78"/>
    <w:rsid w:val="009D2E5C"/>
    <w:rsid w:val="009D3D4F"/>
    <w:rsid w:val="009D426A"/>
    <w:rsid w:val="009D4643"/>
    <w:rsid w:val="009D4707"/>
    <w:rsid w:val="009D5A21"/>
    <w:rsid w:val="009D5BA8"/>
    <w:rsid w:val="009D6AAF"/>
    <w:rsid w:val="009D6F1B"/>
    <w:rsid w:val="009D70CC"/>
    <w:rsid w:val="009D75C8"/>
    <w:rsid w:val="009D7685"/>
    <w:rsid w:val="009D7779"/>
    <w:rsid w:val="009D7F94"/>
    <w:rsid w:val="009E0031"/>
    <w:rsid w:val="009E1EF8"/>
    <w:rsid w:val="009E1F19"/>
    <w:rsid w:val="009E29EC"/>
    <w:rsid w:val="009E2B50"/>
    <w:rsid w:val="009E2CE6"/>
    <w:rsid w:val="009E32A3"/>
    <w:rsid w:val="009E35EA"/>
    <w:rsid w:val="009E50F7"/>
    <w:rsid w:val="009E598D"/>
    <w:rsid w:val="009E65D1"/>
    <w:rsid w:val="009E6CFF"/>
    <w:rsid w:val="009E76E9"/>
    <w:rsid w:val="009E78F2"/>
    <w:rsid w:val="009F0124"/>
    <w:rsid w:val="009F02FB"/>
    <w:rsid w:val="009F2348"/>
    <w:rsid w:val="009F26E4"/>
    <w:rsid w:val="009F38CA"/>
    <w:rsid w:val="009F481D"/>
    <w:rsid w:val="009F4B31"/>
    <w:rsid w:val="009F5AED"/>
    <w:rsid w:val="009F5BE1"/>
    <w:rsid w:val="009F6843"/>
    <w:rsid w:val="009F6F29"/>
    <w:rsid w:val="00A00800"/>
    <w:rsid w:val="00A00A5F"/>
    <w:rsid w:val="00A00EAE"/>
    <w:rsid w:val="00A013F7"/>
    <w:rsid w:val="00A03C4D"/>
    <w:rsid w:val="00A047E6"/>
    <w:rsid w:val="00A05B39"/>
    <w:rsid w:val="00A06237"/>
    <w:rsid w:val="00A075C7"/>
    <w:rsid w:val="00A07662"/>
    <w:rsid w:val="00A07BF1"/>
    <w:rsid w:val="00A10536"/>
    <w:rsid w:val="00A105B7"/>
    <w:rsid w:val="00A1097E"/>
    <w:rsid w:val="00A109AB"/>
    <w:rsid w:val="00A10ADF"/>
    <w:rsid w:val="00A11346"/>
    <w:rsid w:val="00A11472"/>
    <w:rsid w:val="00A11915"/>
    <w:rsid w:val="00A14546"/>
    <w:rsid w:val="00A14BC7"/>
    <w:rsid w:val="00A15E5F"/>
    <w:rsid w:val="00A1603A"/>
    <w:rsid w:val="00A16ADF"/>
    <w:rsid w:val="00A16BA7"/>
    <w:rsid w:val="00A16EF2"/>
    <w:rsid w:val="00A172C9"/>
    <w:rsid w:val="00A17618"/>
    <w:rsid w:val="00A202B1"/>
    <w:rsid w:val="00A215A9"/>
    <w:rsid w:val="00A23C09"/>
    <w:rsid w:val="00A247DA"/>
    <w:rsid w:val="00A2507D"/>
    <w:rsid w:val="00A25375"/>
    <w:rsid w:val="00A25DD2"/>
    <w:rsid w:val="00A25E7A"/>
    <w:rsid w:val="00A26613"/>
    <w:rsid w:val="00A26934"/>
    <w:rsid w:val="00A26ABB"/>
    <w:rsid w:val="00A3206E"/>
    <w:rsid w:val="00A321B1"/>
    <w:rsid w:val="00A32466"/>
    <w:rsid w:val="00A33588"/>
    <w:rsid w:val="00A34223"/>
    <w:rsid w:val="00A342DC"/>
    <w:rsid w:val="00A34346"/>
    <w:rsid w:val="00A34493"/>
    <w:rsid w:val="00A3449F"/>
    <w:rsid w:val="00A34558"/>
    <w:rsid w:val="00A34E2E"/>
    <w:rsid w:val="00A35AA6"/>
    <w:rsid w:val="00A35DCB"/>
    <w:rsid w:val="00A3609B"/>
    <w:rsid w:val="00A374AE"/>
    <w:rsid w:val="00A37908"/>
    <w:rsid w:val="00A400FB"/>
    <w:rsid w:val="00A40A2B"/>
    <w:rsid w:val="00A40FDB"/>
    <w:rsid w:val="00A414B9"/>
    <w:rsid w:val="00A43646"/>
    <w:rsid w:val="00A438E6"/>
    <w:rsid w:val="00A43DE5"/>
    <w:rsid w:val="00A44797"/>
    <w:rsid w:val="00A44BE6"/>
    <w:rsid w:val="00A456DA"/>
    <w:rsid w:val="00A45B01"/>
    <w:rsid w:val="00A45E74"/>
    <w:rsid w:val="00A4614D"/>
    <w:rsid w:val="00A4627B"/>
    <w:rsid w:val="00A466D9"/>
    <w:rsid w:val="00A472FA"/>
    <w:rsid w:val="00A47F13"/>
    <w:rsid w:val="00A50800"/>
    <w:rsid w:val="00A50C5F"/>
    <w:rsid w:val="00A5191B"/>
    <w:rsid w:val="00A522F3"/>
    <w:rsid w:val="00A52BC2"/>
    <w:rsid w:val="00A54F75"/>
    <w:rsid w:val="00A555CB"/>
    <w:rsid w:val="00A55713"/>
    <w:rsid w:val="00A57DD8"/>
    <w:rsid w:val="00A61171"/>
    <w:rsid w:val="00A61C33"/>
    <w:rsid w:val="00A6205F"/>
    <w:rsid w:val="00A6236A"/>
    <w:rsid w:val="00A62B55"/>
    <w:rsid w:val="00A631FA"/>
    <w:rsid w:val="00A63F6E"/>
    <w:rsid w:val="00A646B6"/>
    <w:rsid w:val="00A64815"/>
    <w:rsid w:val="00A64EBF"/>
    <w:rsid w:val="00A6506D"/>
    <w:rsid w:val="00A6509D"/>
    <w:rsid w:val="00A650F5"/>
    <w:rsid w:val="00A65B28"/>
    <w:rsid w:val="00A65F29"/>
    <w:rsid w:val="00A65F72"/>
    <w:rsid w:val="00A66346"/>
    <w:rsid w:val="00A663CE"/>
    <w:rsid w:val="00A701CA"/>
    <w:rsid w:val="00A70F1E"/>
    <w:rsid w:val="00A7124A"/>
    <w:rsid w:val="00A729B8"/>
    <w:rsid w:val="00A7301C"/>
    <w:rsid w:val="00A73550"/>
    <w:rsid w:val="00A742B7"/>
    <w:rsid w:val="00A7603A"/>
    <w:rsid w:val="00A76144"/>
    <w:rsid w:val="00A77504"/>
    <w:rsid w:val="00A77A6A"/>
    <w:rsid w:val="00A77D00"/>
    <w:rsid w:val="00A77DCB"/>
    <w:rsid w:val="00A803A2"/>
    <w:rsid w:val="00A807CD"/>
    <w:rsid w:val="00A81B32"/>
    <w:rsid w:val="00A81C0F"/>
    <w:rsid w:val="00A81EC2"/>
    <w:rsid w:val="00A8264F"/>
    <w:rsid w:val="00A83FC8"/>
    <w:rsid w:val="00A840CA"/>
    <w:rsid w:val="00A84972"/>
    <w:rsid w:val="00A84A82"/>
    <w:rsid w:val="00A85334"/>
    <w:rsid w:val="00A85877"/>
    <w:rsid w:val="00A85F3F"/>
    <w:rsid w:val="00A863C7"/>
    <w:rsid w:val="00A86EF7"/>
    <w:rsid w:val="00A87668"/>
    <w:rsid w:val="00A87B87"/>
    <w:rsid w:val="00A87CC5"/>
    <w:rsid w:val="00A90552"/>
    <w:rsid w:val="00A905D1"/>
    <w:rsid w:val="00A90E61"/>
    <w:rsid w:val="00A91E64"/>
    <w:rsid w:val="00A92406"/>
    <w:rsid w:val="00A939D7"/>
    <w:rsid w:val="00A93C34"/>
    <w:rsid w:val="00A94200"/>
    <w:rsid w:val="00A94940"/>
    <w:rsid w:val="00A951E9"/>
    <w:rsid w:val="00A95373"/>
    <w:rsid w:val="00A95C5B"/>
    <w:rsid w:val="00A96823"/>
    <w:rsid w:val="00A9683A"/>
    <w:rsid w:val="00A974AA"/>
    <w:rsid w:val="00AA00F6"/>
    <w:rsid w:val="00AA04FF"/>
    <w:rsid w:val="00AA1894"/>
    <w:rsid w:val="00AA1AE9"/>
    <w:rsid w:val="00AA1D9E"/>
    <w:rsid w:val="00AA29A6"/>
    <w:rsid w:val="00AA3124"/>
    <w:rsid w:val="00AA3246"/>
    <w:rsid w:val="00AA32A3"/>
    <w:rsid w:val="00AA336C"/>
    <w:rsid w:val="00AA34B2"/>
    <w:rsid w:val="00AA38AC"/>
    <w:rsid w:val="00AA4579"/>
    <w:rsid w:val="00AA4894"/>
    <w:rsid w:val="00AA4A2C"/>
    <w:rsid w:val="00AA5F71"/>
    <w:rsid w:val="00AA60DE"/>
    <w:rsid w:val="00AA61A5"/>
    <w:rsid w:val="00AA6B4E"/>
    <w:rsid w:val="00AA7089"/>
    <w:rsid w:val="00AB0AF6"/>
    <w:rsid w:val="00AB0F13"/>
    <w:rsid w:val="00AB18ED"/>
    <w:rsid w:val="00AB1984"/>
    <w:rsid w:val="00AB19E5"/>
    <w:rsid w:val="00AB1BAE"/>
    <w:rsid w:val="00AB4A99"/>
    <w:rsid w:val="00AB4C47"/>
    <w:rsid w:val="00AB5386"/>
    <w:rsid w:val="00AB58F1"/>
    <w:rsid w:val="00AB741B"/>
    <w:rsid w:val="00AC0B9C"/>
    <w:rsid w:val="00AC14D1"/>
    <w:rsid w:val="00AC168F"/>
    <w:rsid w:val="00AC2433"/>
    <w:rsid w:val="00AC2ED9"/>
    <w:rsid w:val="00AC40BD"/>
    <w:rsid w:val="00AC4751"/>
    <w:rsid w:val="00AC47BC"/>
    <w:rsid w:val="00AC481F"/>
    <w:rsid w:val="00AC5290"/>
    <w:rsid w:val="00AC561E"/>
    <w:rsid w:val="00AC5AA7"/>
    <w:rsid w:val="00AC5AC8"/>
    <w:rsid w:val="00AC65B9"/>
    <w:rsid w:val="00AC6745"/>
    <w:rsid w:val="00AC6898"/>
    <w:rsid w:val="00AC698B"/>
    <w:rsid w:val="00AC6B71"/>
    <w:rsid w:val="00AC6E1D"/>
    <w:rsid w:val="00AC74A3"/>
    <w:rsid w:val="00AC7DE8"/>
    <w:rsid w:val="00AD00AB"/>
    <w:rsid w:val="00AD04E4"/>
    <w:rsid w:val="00AD15FB"/>
    <w:rsid w:val="00AD2595"/>
    <w:rsid w:val="00AD29CC"/>
    <w:rsid w:val="00AD2DEE"/>
    <w:rsid w:val="00AD3261"/>
    <w:rsid w:val="00AD35F6"/>
    <w:rsid w:val="00AD3FA1"/>
    <w:rsid w:val="00AD4466"/>
    <w:rsid w:val="00AD4DA9"/>
    <w:rsid w:val="00AD5E5F"/>
    <w:rsid w:val="00AD6F48"/>
    <w:rsid w:val="00AD732C"/>
    <w:rsid w:val="00AE11E4"/>
    <w:rsid w:val="00AE14AC"/>
    <w:rsid w:val="00AE1745"/>
    <w:rsid w:val="00AE25EF"/>
    <w:rsid w:val="00AE2625"/>
    <w:rsid w:val="00AE2A9A"/>
    <w:rsid w:val="00AE304A"/>
    <w:rsid w:val="00AE3E14"/>
    <w:rsid w:val="00AE444F"/>
    <w:rsid w:val="00AE4742"/>
    <w:rsid w:val="00AE5084"/>
    <w:rsid w:val="00AE6AD1"/>
    <w:rsid w:val="00AF0822"/>
    <w:rsid w:val="00AF0A03"/>
    <w:rsid w:val="00AF0E0A"/>
    <w:rsid w:val="00AF0F25"/>
    <w:rsid w:val="00AF1A64"/>
    <w:rsid w:val="00AF236D"/>
    <w:rsid w:val="00AF24DA"/>
    <w:rsid w:val="00AF295D"/>
    <w:rsid w:val="00AF2F80"/>
    <w:rsid w:val="00AF31F3"/>
    <w:rsid w:val="00AF464E"/>
    <w:rsid w:val="00AF52B8"/>
    <w:rsid w:val="00AF623A"/>
    <w:rsid w:val="00AF6ED6"/>
    <w:rsid w:val="00AF7939"/>
    <w:rsid w:val="00B0038E"/>
    <w:rsid w:val="00B0064F"/>
    <w:rsid w:val="00B00DFE"/>
    <w:rsid w:val="00B02743"/>
    <w:rsid w:val="00B05907"/>
    <w:rsid w:val="00B060E5"/>
    <w:rsid w:val="00B07A6E"/>
    <w:rsid w:val="00B10275"/>
    <w:rsid w:val="00B10292"/>
    <w:rsid w:val="00B107A3"/>
    <w:rsid w:val="00B11C25"/>
    <w:rsid w:val="00B11CF1"/>
    <w:rsid w:val="00B12370"/>
    <w:rsid w:val="00B1255D"/>
    <w:rsid w:val="00B13AF8"/>
    <w:rsid w:val="00B13CFB"/>
    <w:rsid w:val="00B1403E"/>
    <w:rsid w:val="00B1488F"/>
    <w:rsid w:val="00B15A6E"/>
    <w:rsid w:val="00B15DAF"/>
    <w:rsid w:val="00B16414"/>
    <w:rsid w:val="00B16D1E"/>
    <w:rsid w:val="00B16F8A"/>
    <w:rsid w:val="00B17CDF"/>
    <w:rsid w:val="00B2046A"/>
    <w:rsid w:val="00B20C7E"/>
    <w:rsid w:val="00B2284B"/>
    <w:rsid w:val="00B23C8A"/>
    <w:rsid w:val="00B2440D"/>
    <w:rsid w:val="00B247D0"/>
    <w:rsid w:val="00B2593E"/>
    <w:rsid w:val="00B26ED4"/>
    <w:rsid w:val="00B27C4F"/>
    <w:rsid w:val="00B301D9"/>
    <w:rsid w:val="00B30446"/>
    <w:rsid w:val="00B31BED"/>
    <w:rsid w:val="00B326E8"/>
    <w:rsid w:val="00B32A49"/>
    <w:rsid w:val="00B34732"/>
    <w:rsid w:val="00B34DB5"/>
    <w:rsid w:val="00B34FF4"/>
    <w:rsid w:val="00B36424"/>
    <w:rsid w:val="00B375C1"/>
    <w:rsid w:val="00B40116"/>
    <w:rsid w:val="00B4023C"/>
    <w:rsid w:val="00B4182A"/>
    <w:rsid w:val="00B41DA9"/>
    <w:rsid w:val="00B42445"/>
    <w:rsid w:val="00B43238"/>
    <w:rsid w:val="00B43753"/>
    <w:rsid w:val="00B43E43"/>
    <w:rsid w:val="00B4583E"/>
    <w:rsid w:val="00B4587A"/>
    <w:rsid w:val="00B458F9"/>
    <w:rsid w:val="00B4600A"/>
    <w:rsid w:val="00B4651D"/>
    <w:rsid w:val="00B466EC"/>
    <w:rsid w:val="00B46AFA"/>
    <w:rsid w:val="00B471FB"/>
    <w:rsid w:val="00B4770B"/>
    <w:rsid w:val="00B47D65"/>
    <w:rsid w:val="00B5022F"/>
    <w:rsid w:val="00B5136F"/>
    <w:rsid w:val="00B51AFD"/>
    <w:rsid w:val="00B52252"/>
    <w:rsid w:val="00B52578"/>
    <w:rsid w:val="00B52985"/>
    <w:rsid w:val="00B52DA3"/>
    <w:rsid w:val="00B52EAC"/>
    <w:rsid w:val="00B53721"/>
    <w:rsid w:val="00B53F8F"/>
    <w:rsid w:val="00B544B4"/>
    <w:rsid w:val="00B5656B"/>
    <w:rsid w:val="00B568A2"/>
    <w:rsid w:val="00B6070B"/>
    <w:rsid w:val="00B60A29"/>
    <w:rsid w:val="00B60F49"/>
    <w:rsid w:val="00B6177E"/>
    <w:rsid w:val="00B62353"/>
    <w:rsid w:val="00B629FC"/>
    <w:rsid w:val="00B62DE1"/>
    <w:rsid w:val="00B62E3E"/>
    <w:rsid w:val="00B63269"/>
    <w:rsid w:val="00B655B9"/>
    <w:rsid w:val="00B65A02"/>
    <w:rsid w:val="00B65E11"/>
    <w:rsid w:val="00B65F7A"/>
    <w:rsid w:val="00B66194"/>
    <w:rsid w:val="00B663FE"/>
    <w:rsid w:val="00B6667F"/>
    <w:rsid w:val="00B669B8"/>
    <w:rsid w:val="00B66A22"/>
    <w:rsid w:val="00B67DAA"/>
    <w:rsid w:val="00B70138"/>
    <w:rsid w:val="00B71449"/>
    <w:rsid w:val="00B7165F"/>
    <w:rsid w:val="00B7172C"/>
    <w:rsid w:val="00B719B8"/>
    <w:rsid w:val="00B7258E"/>
    <w:rsid w:val="00B737D9"/>
    <w:rsid w:val="00B74764"/>
    <w:rsid w:val="00B75DE1"/>
    <w:rsid w:val="00B762D8"/>
    <w:rsid w:val="00B7687F"/>
    <w:rsid w:val="00B80368"/>
    <w:rsid w:val="00B80C3D"/>
    <w:rsid w:val="00B80CBD"/>
    <w:rsid w:val="00B81526"/>
    <w:rsid w:val="00B82A40"/>
    <w:rsid w:val="00B8309F"/>
    <w:rsid w:val="00B8311D"/>
    <w:rsid w:val="00B84008"/>
    <w:rsid w:val="00B84934"/>
    <w:rsid w:val="00B850E9"/>
    <w:rsid w:val="00B853D1"/>
    <w:rsid w:val="00B85A7E"/>
    <w:rsid w:val="00B871B3"/>
    <w:rsid w:val="00B87554"/>
    <w:rsid w:val="00B9032E"/>
    <w:rsid w:val="00B905E1"/>
    <w:rsid w:val="00B91043"/>
    <w:rsid w:val="00B9199E"/>
    <w:rsid w:val="00B92827"/>
    <w:rsid w:val="00B939AB"/>
    <w:rsid w:val="00B942D0"/>
    <w:rsid w:val="00B9495F"/>
    <w:rsid w:val="00B94EC5"/>
    <w:rsid w:val="00B9601D"/>
    <w:rsid w:val="00B96216"/>
    <w:rsid w:val="00B96F5E"/>
    <w:rsid w:val="00B972F5"/>
    <w:rsid w:val="00BA0106"/>
    <w:rsid w:val="00BA01CF"/>
    <w:rsid w:val="00BA0651"/>
    <w:rsid w:val="00BA085D"/>
    <w:rsid w:val="00BA1076"/>
    <w:rsid w:val="00BA10AA"/>
    <w:rsid w:val="00BA185A"/>
    <w:rsid w:val="00BA19C4"/>
    <w:rsid w:val="00BA1AF1"/>
    <w:rsid w:val="00BA1D83"/>
    <w:rsid w:val="00BA2246"/>
    <w:rsid w:val="00BA25FF"/>
    <w:rsid w:val="00BA466B"/>
    <w:rsid w:val="00BA47C6"/>
    <w:rsid w:val="00BA4F36"/>
    <w:rsid w:val="00BA50C8"/>
    <w:rsid w:val="00BA5324"/>
    <w:rsid w:val="00BA5873"/>
    <w:rsid w:val="00BA5A20"/>
    <w:rsid w:val="00BA5CF0"/>
    <w:rsid w:val="00BA631F"/>
    <w:rsid w:val="00BA791E"/>
    <w:rsid w:val="00BA7A3F"/>
    <w:rsid w:val="00BB0CFC"/>
    <w:rsid w:val="00BB1BF7"/>
    <w:rsid w:val="00BB205F"/>
    <w:rsid w:val="00BB2B08"/>
    <w:rsid w:val="00BB3A7E"/>
    <w:rsid w:val="00BB4EE7"/>
    <w:rsid w:val="00BB5192"/>
    <w:rsid w:val="00BB6711"/>
    <w:rsid w:val="00BB724A"/>
    <w:rsid w:val="00BB75D3"/>
    <w:rsid w:val="00BC0A30"/>
    <w:rsid w:val="00BC1053"/>
    <w:rsid w:val="00BC2A25"/>
    <w:rsid w:val="00BC2F89"/>
    <w:rsid w:val="00BC30DD"/>
    <w:rsid w:val="00BC3299"/>
    <w:rsid w:val="00BC3FC2"/>
    <w:rsid w:val="00BC3FCC"/>
    <w:rsid w:val="00BC4580"/>
    <w:rsid w:val="00BC590B"/>
    <w:rsid w:val="00BC5CBD"/>
    <w:rsid w:val="00BC751C"/>
    <w:rsid w:val="00BD07D5"/>
    <w:rsid w:val="00BD28AD"/>
    <w:rsid w:val="00BD2E82"/>
    <w:rsid w:val="00BD4220"/>
    <w:rsid w:val="00BD43AE"/>
    <w:rsid w:val="00BD4667"/>
    <w:rsid w:val="00BD48F4"/>
    <w:rsid w:val="00BD5535"/>
    <w:rsid w:val="00BD5855"/>
    <w:rsid w:val="00BD5A3C"/>
    <w:rsid w:val="00BD5D41"/>
    <w:rsid w:val="00BD6F36"/>
    <w:rsid w:val="00BE1DEC"/>
    <w:rsid w:val="00BE2ADA"/>
    <w:rsid w:val="00BE2B89"/>
    <w:rsid w:val="00BE38CD"/>
    <w:rsid w:val="00BE390A"/>
    <w:rsid w:val="00BE413E"/>
    <w:rsid w:val="00BE45F4"/>
    <w:rsid w:val="00BE4C6D"/>
    <w:rsid w:val="00BE5367"/>
    <w:rsid w:val="00BF0ACE"/>
    <w:rsid w:val="00BF19E6"/>
    <w:rsid w:val="00BF1AE0"/>
    <w:rsid w:val="00BF2527"/>
    <w:rsid w:val="00BF294F"/>
    <w:rsid w:val="00BF2D9B"/>
    <w:rsid w:val="00BF344C"/>
    <w:rsid w:val="00BF3796"/>
    <w:rsid w:val="00BF427F"/>
    <w:rsid w:val="00BF428F"/>
    <w:rsid w:val="00BF4674"/>
    <w:rsid w:val="00BF47BD"/>
    <w:rsid w:val="00BF4BEB"/>
    <w:rsid w:val="00BF541A"/>
    <w:rsid w:val="00BF5521"/>
    <w:rsid w:val="00BF618F"/>
    <w:rsid w:val="00BF6961"/>
    <w:rsid w:val="00BF6BE2"/>
    <w:rsid w:val="00BF78E8"/>
    <w:rsid w:val="00BF7A56"/>
    <w:rsid w:val="00BF7A7B"/>
    <w:rsid w:val="00C003BE"/>
    <w:rsid w:val="00C00870"/>
    <w:rsid w:val="00C00D1E"/>
    <w:rsid w:val="00C0126D"/>
    <w:rsid w:val="00C01488"/>
    <w:rsid w:val="00C02BD8"/>
    <w:rsid w:val="00C02C8D"/>
    <w:rsid w:val="00C02EE3"/>
    <w:rsid w:val="00C04272"/>
    <w:rsid w:val="00C0491D"/>
    <w:rsid w:val="00C04D4C"/>
    <w:rsid w:val="00C04E5D"/>
    <w:rsid w:val="00C05A35"/>
    <w:rsid w:val="00C0619D"/>
    <w:rsid w:val="00C06C71"/>
    <w:rsid w:val="00C06DBE"/>
    <w:rsid w:val="00C07481"/>
    <w:rsid w:val="00C07C6C"/>
    <w:rsid w:val="00C12648"/>
    <w:rsid w:val="00C128C3"/>
    <w:rsid w:val="00C12BDD"/>
    <w:rsid w:val="00C130FD"/>
    <w:rsid w:val="00C1384B"/>
    <w:rsid w:val="00C13933"/>
    <w:rsid w:val="00C13ED7"/>
    <w:rsid w:val="00C13F98"/>
    <w:rsid w:val="00C14370"/>
    <w:rsid w:val="00C1455D"/>
    <w:rsid w:val="00C147F1"/>
    <w:rsid w:val="00C15964"/>
    <w:rsid w:val="00C16DE3"/>
    <w:rsid w:val="00C20A16"/>
    <w:rsid w:val="00C20C06"/>
    <w:rsid w:val="00C21294"/>
    <w:rsid w:val="00C21B6C"/>
    <w:rsid w:val="00C21D39"/>
    <w:rsid w:val="00C22B95"/>
    <w:rsid w:val="00C23392"/>
    <w:rsid w:val="00C261E1"/>
    <w:rsid w:val="00C30DD3"/>
    <w:rsid w:val="00C3177D"/>
    <w:rsid w:val="00C3207C"/>
    <w:rsid w:val="00C32BBA"/>
    <w:rsid w:val="00C32F97"/>
    <w:rsid w:val="00C330A0"/>
    <w:rsid w:val="00C330E9"/>
    <w:rsid w:val="00C3356D"/>
    <w:rsid w:val="00C347E7"/>
    <w:rsid w:val="00C362D7"/>
    <w:rsid w:val="00C36691"/>
    <w:rsid w:val="00C369D2"/>
    <w:rsid w:val="00C36F07"/>
    <w:rsid w:val="00C371C6"/>
    <w:rsid w:val="00C3776F"/>
    <w:rsid w:val="00C40EE7"/>
    <w:rsid w:val="00C410CD"/>
    <w:rsid w:val="00C41B0B"/>
    <w:rsid w:val="00C41B8D"/>
    <w:rsid w:val="00C4366D"/>
    <w:rsid w:val="00C43C77"/>
    <w:rsid w:val="00C45A8D"/>
    <w:rsid w:val="00C46DD6"/>
    <w:rsid w:val="00C470E0"/>
    <w:rsid w:val="00C4783A"/>
    <w:rsid w:val="00C47CB0"/>
    <w:rsid w:val="00C50130"/>
    <w:rsid w:val="00C501FD"/>
    <w:rsid w:val="00C50796"/>
    <w:rsid w:val="00C509F0"/>
    <w:rsid w:val="00C517DF"/>
    <w:rsid w:val="00C519E7"/>
    <w:rsid w:val="00C51D40"/>
    <w:rsid w:val="00C52F48"/>
    <w:rsid w:val="00C53C7A"/>
    <w:rsid w:val="00C549BB"/>
    <w:rsid w:val="00C55C97"/>
    <w:rsid w:val="00C55E06"/>
    <w:rsid w:val="00C56E07"/>
    <w:rsid w:val="00C575B1"/>
    <w:rsid w:val="00C57B93"/>
    <w:rsid w:val="00C6093B"/>
    <w:rsid w:val="00C60C3B"/>
    <w:rsid w:val="00C610E6"/>
    <w:rsid w:val="00C62B1F"/>
    <w:rsid w:val="00C6300F"/>
    <w:rsid w:val="00C636AF"/>
    <w:rsid w:val="00C63772"/>
    <w:rsid w:val="00C63FBC"/>
    <w:rsid w:val="00C64184"/>
    <w:rsid w:val="00C642AC"/>
    <w:rsid w:val="00C643FE"/>
    <w:rsid w:val="00C65A97"/>
    <w:rsid w:val="00C6613C"/>
    <w:rsid w:val="00C664AD"/>
    <w:rsid w:val="00C667F4"/>
    <w:rsid w:val="00C66A56"/>
    <w:rsid w:val="00C70367"/>
    <w:rsid w:val="00C70420"/>
    <w:rsid w:val="00C70489"/>
    <w:rsid w:val="00C70732"/>
    <w:rsid w:val="00C708BF"/>
    <w:rsid w:val="00C709C1"/>
    <w:rsid w:val="00C716AD"/>
    <w:rsid w:val="00C71BEC"/>
    <w:rsid w:val="00C72131"/>
    <w:rsid w:val="00C72180"/>
    <w:rsid w:val="00C74164"/>
    <w:rsid w:val="00C75112"/>
    <w:rsid w:val="00C7574E"/>
    <w:rsid w:val="00C76CF3"/>
    <w:rsid w:val="00C7716E"/>
    <w:rsid w:val="00C77A17"/>
    <w:rsid w:val="00C80087"/>
    <w:rsid w:val="00C835C8"/>
    <w:rsid w:val="00C83EA6"/>
    <w:rsid w:val="00C845DB"/>
    <w:rsid w:val="00C84B5D"/>
    <w:rsid w:val="00C84BBF"/>
    <w:rsid w:val="00C852F7"/>
    <w:rsid w:val="00C870D1"/>
    <w:rsid w:val="00C872EB"/>
    <w:rsid w:val="00C8747F"/>
    <w:rsid w:val="00C87E9A"/>
    <w:rsid w:val="00C90EE0"/>
    <w:rsid w:val="00C911B9"/>
    <w:rsid w:val="00C91ED2"/>
    <w:rsid w:val="00C9291C"/>
    <w:rsid w:val="00C92CC0"/>
    <w:rsid w:val="00C93E1F"/>
    <w:rsid w:val="00C93ECD"/>
    <w:rsid w:val="00C9431E"/>
    <w:rsid w:val="00C944F5"/>
    <w:rsid w:val="00C946F3"/>
    <w:rsid w:val="00C948DA"/>
    <w:rsid w:val="00C956EA"/>
    <w:rsid w:val="00C95AD2"/>
    <w:rsid w:val="00C96D8F"/>
    <w:rsid w:val="00C97560"/>
    <w:rsid w:val="00CA0FB0"/>
    <w:rsid w:val="00CA1AD4"/>
    <w:rsid w:val="00CA1CE9"/>
    <w:rsid w:val="00CA243C"/>
    <w:rsid w:val="00CA2530"/>
    <w:rsid w:val="00CA2805"/>
    <w:rsid w:val="00CA2E69"/>
    <w:rsid w:val="00CA33F3"/>
    <w:rsid w:val="00CA551B"/>
    <w:rsid w:val="00CA5A65"/>
    <w:rsid w:val="00CA5AD6"/>
    <w:rsid w:val="00CA6BEF"/>
    <w:rsid w:val="00CA756D"/>
    <w:rsid w:val="00CA773A"/>
    <w:rsid w:val="00CA7BB5"/>
    <w:rsid w:val="00CA7EBE"/>
    <w:rsid w:val="00CB10B7"/>
    <w:rsid w:val="00CB2361"/>
    <w:rsid w:val="00CB27A6"/>
    <w:rsid w:val="00CB27CD"/>
    <w:rsid w:val="00CB2F5E"/>
    <w:rsid w:val="00CB3DB1"/>
    <w:rsid w:val="00CB495C"/>
    <w:rsid w:val="00CB55D2"/>
    <w:rsid w:val="00CB63EC"/>
    <w:rsid w:val="00CB659D"/>
    <w:rsid w:val="00CB7A3C"/>
    <w:rsid w:val="00CC0E03"/>
    <w:rsid w:val="00CC1F2C"/>
    <w:rsid w:val="00CC295A"/>
    <w:rsid w:val="00CC2A9E"/>
    <w:rsid w:val="00CC2DFC"/>
    <w:rsid w:val="00CC37BC"/>
    <w:rsid w:val="00CC4D24"/>
    <w:rsid w:val="00CC51E3"/>
    <w:rsid w:val="00CC6035"/>
    <w:rsid w:val="00CC60D2"/>
    <w:rsid w:val="00CC6326"/>
    <w:rsid w:val="00CC6E3F"/>
    <w:rsid w:val="00CC6EDC"/>
    <w:rsid w:val="00CD03DD"/>
    <w:rsid w:val="00CD0ED6"/>
    <w:rsid w:val="00CD178B"/>
    <w:rsid w:val="00CD1FF7"/>
    <w:rsid w:val="00CD261B"/>
    <w:rsid w:val="00CD2793"/>
    <w:rsid w:val="00CD2DDD"/>
    <w:rsid w:val="00CD2ED9"/>
    <w:rsid w:val="00CD46E0"/>
    <w:rsid w:val="00CD4CE4"/>
    <w:rsid w:val="00CD5F05"/>
    <w:rsid w:val="00CD692E"/>
    <w:rsid w:val="00CE049C"/>
    <w:rsid w:val="00CE0966"/>
    <w:rsid w:val="00CE0A8B"/>
    <w:rsid w:val="00CE0E42"/>
    <w:rsid w:val="00CE0EEC"/>
    <w:rsid w:val="00CE1E76"/>
    <w:rsid w:val="00CE3210"/>
    <w:rsid w:val="00CE36D1"/>
    <w:rsid w:val="00CE39B1"/>
    <w:rsid w:val="00CE3D40"/>
    <w:rsid w:val="00CE54B2"/>
    <w:rsid w:val="00CE5DDB"/>
    <w:rsid w:val="00CE5E85"/>
    <w:rsid w:val="00CE6B52"/>
    <w:rsid w:val="00CE6D60"/>
    <w:rsid w:val="00CE72B1"/>
    <w:rsid w:val="00CF0A5F"/>
    <w:rsid w:val="00CF103F"/>
    <w:rsid w:val="00CF3C89"/>
    <w:rsid w:val="00CF4EA5"/>
    <w:rsid w:val="00CF501A"/>
    <w:rsid w:val="00CF53F7"/>
    <w:rsid w:val="00CF5F58"/>
    <w:rsid w:val="00CF62DC"/>
    <w:rsid w:val="00CF69C6"/>
    <w:rsid w:val="00CF6E9C"/>
    <w:rsid w:val="00CF78BE"/>
    <w:rsid w:val="00D004AE"/>
    <w:rsid w:val="00D00BD3"/>
    <w:rsid w:val="00D01257"/>
    <w:rsid w:val="00D013E7"/>
    <w:rsid w:val="00D027A5"/>
    <w:rsid w:val="00D02888"/>
    <w:rsid w:val="00D0322A"/>
    <w:rsid w:val="00D03339"/>
    <w:rsid w:val="00D037AB"/>
    <w:rsid w:val="00D04C0F"/>
    <w:rsid w:val="00D05534"/>
    <w:rsid w:val="00D05DE4"/>
    <w:rsid w:val="00D05EDB"/>
    <w:rsid w:val="00D06294"/>
    <w:rsid w:val="00D069EA"/>
    <w:rsid w:val="00D07540"/>
    <w:rsid w:val="00D07DAE"/>
    <w:rsid w:val="00D1074F"/>
    <w:rsid w:val="00D10E1F"/>
    <w:rsid w:val="00D1119F"/>
    <w:rsid w:val="00D11365"/>
    <w:rsid w:val="00D12D84"/>
    <w:rsid w:val="00D13037"/>
    <w:rsid w:val="00D134F9"/>
    <w:rsid w:val="00D139D8"/>
    <w:rsid w:val="00D14304"/>
    <w:rsid w:val="00D148E5"/>
    <w:rsid w:val="00D15E9F"/>
    <w:rsid w:val="00D16205"/>
    <w:rsid w:val="00D16375"/>
    <w:rsid w:val="00D167CB"/>
    <w:rsid w:val="00D172FA"/>
    <w:rsid w:val="00D174F8"/>
    <w:rsid w:val="00D17540"/>
    <w:rsid w:val="00D17A59"/>
    <w:rsid w:val="00D20377"/>
    <w:rsid w:val="00D20FAD"/>
    <w:rsid w:val="00D223F1"/>
    <w:rsid w:val="00D22512"/>
    <w:rsid w:val="00D2315D"/>
    <w:rsid w:val="00D25113"/>
    <w:rsid w:val="00D254A6"/>
    <w:rsid w:val="00D25AFF"/>
    <w:rsid w:val="00D25C06"/>
    <w:rsid w:val="00D25F76"/>
    <w:rsid w:val="00D26555"/>
    <w:rsid w:val="00D27112"/>
    <w:rsid w:val="00D27DBE"/>
    <w:rsid w:val="00D30454"/>
    <w:rsid w:val="00D30E85"/>
    <w:rsid w:val="00D311F5"/>
    <w:rsid w:val="00D31786"/>
    <w:rsid w:val="00D32784"/>
    <w:rsid w:val="00D33A67"/>
    <w:rsid w:val="00D346F1"/>
    <w:rsid w:val="00D34867"/>
    <w:rsid w:val="00D34A62"/>
    <w:rsid w:val="00D35248"/>
    <w:rsid w:val="00D35E2E"/>
    <w:rsid w:val="00D3650D"/>
    <w:rsid w:val="00D366FB"/>
    <w:rsid w:val="00D36E4D"/>
    <w:rsid w:val="00D37033"/>
    <w:rsid w:val="00D374DA"/>
    <w:rsid w:val="00D37FD4"/>
    <w:rsid w:val="00D40245"/>
    <w:rsid w:val="00D40EA3"/>
    <w:rsid w:val="00D43888"/>
    <w:rsid w:val="00D43D94"/>
    <w:rsid w:val="00D441FB"/>
    <w:rsid w:val="00D444B5"/>
    <w:rsid w:val="00D44550"/>
    <w:rsid w:val="00D46CE3"/>
    <w:rsid w:val="00D47A8E"/>
    <w:rsid w:val="00D502AB"/>
    <w:rsid w:val="00D516BB"/>
    <w:rsid w:val="00D533C1"/>
    <w:rsid w:val="00D53E25"/>
    <w:rsid w:val="00D53F3A"/>
    <w:rsid w:val="00D5448C"/>
    <w:rsid w:val="00D54CBB"/>
    <w:rsid w:val="00D54D60"/>
    <w:rsid w:val="00D5554D"/>
    <w:rsid w:val="00D557CC"/>
    <w:rsid w:val="00D56414"/>
    <w:rsid w:val="00D5777D"/>
    <w:rsid w:val="00D60096"/>
    <w:rsid w:val="00D604F5"/>
    <w:rsid w:val="00D609CE"/>
    <w:rsid w:val="00D62085"/>
    <w:rsid w:val="00D631C8"/>
    <w:rsid w:val="00D64C0A"/>
    <w:rsid w:val="00D656B1"/>
    <w:rsid w:val="00D66A41"/>
    <w:rsid w:val="00D66B6D"/>
    <w:rsid w:val="00D67668"/>
    <w:rsid w:val="00D67B28"/>
    <w:rsid w:val="00D67BB7"/>
    <w:rsid w:val="00D713D3"/>
    <w:rsid w:val="00D714DF"/>
    <w:rsid w:val="00D71670"/>
    <w:rsid w:val="00D71D39"/>
    <w:rsid w:val="00D7204B"/>
    <w:rsid w:val="00D73BAB"/>
    <w:rsid w:val="00D74268"/>
    <w:rsid w:val="00D744BD"/>
    <w:rsid w:val="00D74A56"/>
    <w:rsid w:val="00D74DEF"/>
    <w:rsid w:val="00D75AAF"/>
    <w:rsid w:val="00D767C9"/>
    <w:rsid w:val="00D76F0E"/>
    <w:rsid w:val="00D77956"/>
    <w:rsid w:val="00D77CC5"/>
    <w:rsid w:val="00D77DB0"/>
    <w:rsid w:val="00D8076D"/>
    <w:rsid w:val="00D80779"/>
    <w:rsid w:val="00D80CC2"/>
    <w:rsid w:val="00D8120B"/>
    <w:rsid w:val="00D81919"/>
    <w:rsid w:val="00D81C92"/>
    <w:rsid w:val="00D81E1E"/>
    <w:rsid w:val="00D820E2"/>
    <w:rsid w:val="00D82329"/>
    <w:rsid w:val="00D84BA7"/>
    <w:rsid w:val="00D857E5"/>
    <w:rsid w:val="00D86774"/>
    <w:rsid w:val="00D87984"/>
    <w:rsid w:val="00D90081"/>
    <w:rsid w:val="00D928FB"/>
    <w:rsid w:val="00D92FB5"/>
    <w:rsid w:val="00D93BD0"/>
    <w:rsid w:val="00D93D23"/>
    <w:rsid w:val="00D943DE"/>
    <w:rsid w:val="00D95353"/>
    <w:rsid w:val="00D9545E"/>
    <w:rsid w:val="00D95F26"/>
    <w:rsid w:val="00D95F7D"/>
    <w:rsid w:val="00D96515"/>
    <w:rsid w:val="00D96938"/>
    <w:rsid w:val="00D96E9A"/>
    <w:rsid w:val="00D9753F"/>
    <w:rsid w:val="00D97844"/>
    <w:rsid w:val="00D97DEB"/>
    <w:rsid w:val="00DA0889"/>
    <w:rsid w:val="00DA0B1C"/>
    <w:rsid w:val="00DA137C"/>
    <w:rsid w:val="00DA18BD"/>
    <w:rsid w:val="00DA1B3F"/>
    <w:rsid w:val="00DA28DB"/>
    <w:rsid w:val="00DA3F1F"/>
    <w:rsid w:val="00DA48D9"/>
    <w:rsid w:val="00DA4BD2"/>
    <w:rsid w:val="00DA5C72"/>
    <w:rsid w:val="00DA61A6"/>
    <w:rsid w:val="00DA675A"/>
    <w:rsid w:val="00DA688B"/>
    <w:rsid w:val="00DA68F9"/>
    <w:rsid w:val="00DA6D8A"/>
    <w:rsid w:val="00DA76ED"/>
    <w:rsid w:val="00DB37F0"/>
    <w:rsid w:val="00DB4843"/>
    <w:rsid w:val="00DB5F1D"/>
    <w:rsid w:val="00DB64B1"/>
    <w:rsid w:val="00DB750E"/>
    <w:rsid w:val="00DB77E0"/>
    <w:rsid w:val="00DC09C9"/>
    <w:rsid w:val="00DC1B7A"/>
    <w:rsid w:val="00DC21A1"/>
    <w:rsid w:val="00DC29B4"/>
    <w:rsid w:val="00DC343F"/>
    <w:rsid w:val="00DC53EE"/>
    <w:rsid w:val="00DC5563"/>
    <w:rsid w:val="00DC6189"/>
    <w:rsid w:val="00DC65FB"/>
    <w:rsid w:val="00DC7AB1"/>
    <w:rsid w:val="00DD0457"/>
    <w:rsid w:val="00DD05EF"/>
    <w:rsid w:val="00DD23AC"/>
    <w:rsid w:val="00DD2D83"/>
    <w:rsid w:val="00DD3416"/>
    <w:rsid w:val="00DD459E"/>
    <w:rsid w:val="00DD4F99"/>
    <w:rsid w:val="00DD5CCD"/>
    <w:rsid w:val="00DD7338"/>
    <w:rsid w:val="00DD7B43"/>
    <w:rsid w:val="00DD7F99"/>
    <w:rsid w:val="00DE0601"/>
    <w:rsid w:val="00DE0C72"/>
    <w:rsid w:val="00DE0F50"/>
    <w:rsid w:val="00DE22A8"/>
    <w:rsid w:val="00DE2450"/>
    <w:rsid w:val="00DE2692"/>
    <w:rsid w:val="00DE27D8"/>
    <w:rsid w:val="00DE449B"/>
    <w:rsid w:val="00DE47DB"/>
    <w:rsid w:val="00DE597F"/>
    <w:rsid w:val="00DE6E6D"/>
    <w:rsid w:val="00DE75DA"/>
    <w:rsid w:val="00DE7AAC"/>
    <w:rsid w:val="00DF06F3"/>
    <w:rsid w:val="00DF30FF"/>
    <w:rsid w:val="00DF448E"/>
    <w:rsid w:val="00DF6722"/>
    <w:rsid w:val="00DF6C2E"/>
    <w:rsid w:val="00DF787D"/>
    <w:rsid w:val="00E0017E"/>
    <w:rsid w:val="00E0056D"/>
    <w:rsid w:val="00E00D8B"/>
    <w:rsid w:val="00E01011"/>
    <w:rsid w:val="00E02004"/>
    <w:rsid w:val="00E025C2"/>
    <w:rsid w:val="00E0299F"/>
    <w:rsid w:val="00E02C69"/>
    <w:rsid w:val="00E02D99"/>
    <w:rsid w:val="00E033F6"/>
    <w:rsid w:val="00E037C3"/>
    <w:rsid w:val="00E03807"/>
    <w:rsid w:val="00E039FD"/>
    <w:rsid w:val="00E04B96"/>
    <w:rsid w:val="00E0504A"/>
    <w:rsid w:val="00E06AD5"/>
    <w:rsid w:val="00E075E4"/>
    <w:rsid w:val="00E07A8A"/>
    <w:rsid w:val="00E07ED6"/>
    <w:rsid w:val="00E10239"/>
    <w:rsid w:val="00E10473"/>
    <w:rsid w:val="00E10885"/>
    <w:rsid w:val="00E116C4"/>
    <w:rsid w:val="00E11727"/>
    <w:rsid w:val="00E11F84"/>
    <w:rsid w:val="00E13682"/>
    <w:rsid w:val="00E13732"/>
    <w:rsid w:val="00E138F7"/>
    <w:rsid w:val="00E139BE"/>
    <w:rsid w:val="00E13A4A"/>
    <w:rsid w:val="00E1413E"/>
    <w:rsid w:val="00E14BDF"/>
    <w:rsid w:val="00E15299"/>
    <w:rsid w:val="00E15F34"/>
    <w:rsid w:val="00E16629"/>
    <w:rsid w:val="00E16EB0"/>
    <w:rsid w:val="00E17F21"/>
    <w:rsid w:val="00E2055C"/>
    <w:rsid w:val="00E210B5"/>
    <w:rsid w:val="00E22C5A"/>
    <w:rsid w:val="00E231A2"/>
    <w:rsid w:val="00E231AB"/>
    <w:rsid w:val="00E2337E"/>
    <w:rsid w:val="00E23803"/>
    <w:rsid w:val="00E2436D"/>
    <w:rsid w:val="00E2458A"/>
    <w:rsid w:val="00E246CA"/>
    <w:rsid w:val="00E24705"/>
    <w:rsid w:val="00E2497C"/>
    <w:rsid w:val="00E24F79"/>
    <w:rsid w:val="00E253BD"/>
    <w:rsid w:val="00E258FD"/>
    <w:rsid w:val="00E30B2C"/>
    <w:rsid w:val="00E315E4"/>
    <w:rsid w:val="00E3239B"/>
    <w:rsid w:val="00E32D78"/>
    <w:rsid w:val="00E3310C"/>
    <w:rsid w:val="00E335B0"/>
    <w:rsid w:val="00E33ED8"/>
    <w:rsid w:val="00E34D2E"/>
    <w:rsid w:val="00E34E20"/>
    <w:rsid w:val="00E354AF"/>
    <w:rsid w:val="00E3606A"/>
    <w:rsid w:val="00E368A1"/>
    <w:rsid w:val="00E37407"/>
    <w:rsid w:val="00E40045"/>
    <w:rsid w:val="00E4102F"/>
    <w:rsid w:val="00E41578"/>
    <w:rsid w:val="00E41F88"/>
    <w:rsid w:val="00E42352"/>
    <w:rsid w:val="00E4384B"/>
    <w:rsid w:val="00E44B7F"/>
    <w:rsid w:val="00E456C1"/>
    <w:rsid w:val="00E46306"/>
    <w:rsid w:val="00E4692D"/>
    <w:rsid w:val="00E46CB3"/>
    <w:rsid w:val="00E472E8"/>
    <w:rsid w:val="00E47573"/>
    <w:rsid w:val="00E4778B"/>
    <w:rsid w:val="00E477E8"/>
    <w:rsid w:val="00E47A72"/>
    <w:rsid w:val="00E50913"/>
    <w:rsid w:val="00E5093E"/>
    <w:rsid w:val="00E5236E"/>
    <w:rsid w:val="00E53B10"/>
    <w:rsid w:val="00E53E83"/>
    <w:rsid w:val="00E5421B"/>
    <w:rsid w:val="00E55ECC"/>
    <w:rsid w:val="00E561EB"/>
    <w:rsid w:val="00E569C8"/>
    <w:rsid w:val="00E57133"/>
    <w:rsid w:val="00E57361"/>
    <w:rsid w:val="00E57E48"/>
    <w:rsid w:val="00E57FE6"/>
    <w:rsid w:val="00E60314"/>
    <w:rsid w:val="00E6074A"/>
    <w:rsid w:val="00E60786"/>
    <w:rsid w:val="00E61C50"/>
    <w:rsid w:val="00E62953"/>
    <w:rsid w:val="00E62E8F"/>
    <w:rsid w:val="00E633D5"/>
    <w:rsid w:val="00E63418"/>
    <w:rsid w:val="00E6342C"/>
    <w:rsid w:val="00E63B74"/>
    <w:rsid w:val="00E650A7"/>
    <w:rsid w:val="00E66D09"/>
    <w:rsid w:val="00E66D20"/>
    <w:rsid w:val="00E6706A"/>
    <w:rsid w:val="00E67B09"/>
    <w:rsid w:val="00E70730"/>
    <w:rsid w:val="00E70B35"/>
    <w:rsid w:val="00E716C3"/>
    <w:rsid w:val="00E71CB1"/>
    <w:rsid w:val="00E728D2"/>
    <w:rsid w:val="00E72A28"/>
    <w:rsid w:val="00E73646"/>
    <w:rsid w:val="00E75CC8"/>
    <w:rsid w:val="00E75D28"/>
    <w:rsid w:val="00E75F68"/>
    <w:rsid w:val="00E7651B"/>
    <w:rsid w:val="00E76930"/>
    <w:rsid w:val="00E76C26"/>
    <w:rsid w:val="00E77B2D"/>
    <w:rsid w:val="00E81066"/>
    <w:rsid w:val="00E8184E"/>
    <w:rsid w:val="00E82F93"/>
    <w:rsid w:val="00E82FE1"/>
    <w:rsid w:val="00E83A65"/>
    <w:rsid w:val="00E84859"/>
    <w:rsid w:val="00E84B17"/>
    <w:rsid w:val="00E85B57"/>
    <w:rsid w:val="00E85F59"/>
    <w:rsid w:val="00E863DB"/>
    <w:rsid w:val="00E8657E"/>
    <w:rsid w:val="00E8665D"/>
    <w:rsid w:val="00E86FC4"/>
    <w:rsid w:val="00E877C7"/>
    <w:rsid w:val="00E9062E"/>
    <w:rsid w:val="00E90709"/>
    <w:rsid w:val="00E908F0"/>
    <w:rsid w:val="00E91253"/>
    <w:rsid w:val="00E91805"/>
    <w:rsid w:val="00E91932"/>
    <w:rsid w:val="00E925FB"/>
    <w:rsid w:val="00E92D5C"/>
    <w:rsid w:val="00E92FDF"/>
    <w:rsid w:val="00E93761"/>
    <w:rsid w:val="00E9376B"/>
    <w:rsid w:val="00E93997"/>
    <w:rsid w:val="00E93E1C"/>
    <w:rsid w:val="00E946E8"/>
    <w:rsid w:val="00E947E9"/>
    <w:rsid w:val="00E94BCA"/>
    <w:rsid w:val="00E96985"/>
    <w:rsid w:val="00E971EE"/>
    <w:rsid w:val="00E9738F"/>
    <w:rsid w:val="00E979F9"/>
    <w:rsid w:val="00EA01E3"/>
    <w:rsid w:val="00EA0305"/>
    <w:rsid w:val="00EA0A9B"/>
    <w:rsid w:val="00EA1F15"/>
    <w:rsid w:val="00EA26DE"/>
    <w:rsid w:val="00EA3122"/>
    <w:rsid w:val="00EA385F"/>
    <w:rsid w:val="00EA4096"/>
    <w:rsid w:val="00EA43FD"/>
    <w:rsid w:val="00EA4E6D"/>
    <w:rsid w:val="00EA52BD"/>
    <w:rsid w:val="00EA629A"/>
    <w:rsid w:val="00EA789F"/>
    <w:rsid w:val="00EB0ACC"/>
    <w:rsid w:val="00EB115E"/>
    <w:rsid w:val="00EB1540"/>
    <w:rsid w:val="00EB19DE"/>
    <w:rsid w:val="00EB1C75"/>
    <w:rsid w:val="00EB1E25"/>
    <w:rsid w:val="00EB29C7"/>
    <w:rsid w:val="00EB33FF"/>
    <w:rsid w:val="00EB3887"/>
    <w:rsid w:val="00EB4074"/>
    <w:rsid w:val="00EB4168"/>
    <w:rsid w:val="00EB4C0B"/>
    <w:rsid w:val="00EB6E78"/>
    <w:rsid w:val="00EB78DA"/>
    <w:rsid w:val="00EB7ABD"/>
    <w:rsid w:val="00EB7C32"/>
    <w:rsid w:val="00EB7EF0"/>
    <w:rsid w:val="00EC0287"/>
    <w:rsid w:val="00EC02FA"/>
    <w:rsid w:val="00EC06A5"/>
    <w:rsid w:val="00EC06C2"/>
    <w:rsid w:val="00EC0C29"/>
    <w:rsid w:val="00EC2564"/>
    <w:rsid w:val="00EC2ED4"/>
    <w:rsid w:val="00EC3265"/>
    <w:rsid w:val="00EC4A8B"/>
    <w:rsid w:val="00EC4D7F"/>
    <w:rsid w:val="00EC5036"/>
    <w:rsid w:val="00EC5927"/>
    <w:rsid w:val="00EC6CFE"/>
    <w:rsid w:val="00EC7201"/>
    <w:rsid w:val="00EC7B20"/>
    <w:rsid w:val="00ED0745"/>
    <w:rsid w:val="00ED08BF"/>
    <w:rsid w:val="00ED0CA9"/>
    <w:rsid w:val="00ED149D"/>
    <w:rsid w:val="00ED3696"/>
    <w:rsid w:val="00ED3AE4"/>
    <w:rsid w:val="00ED5553"/>
    <w:rsid w:val="00ED55F6"/>
    <w:rsid w:val="00ED6D0F"/>
    <w:rsid w:val="00EE078F"/>
    <w:rsid w:val="00EE259C"/>
    <w:rsid w:val="00EE266E"/>
    <w:rsid w:val="00EE268F"/>
    <w:rsid w:val="00EE31DA"/>
    <w:rsid w:val="00EE5A1E"/>
    <w:rsid w:val="00EE65AF"/>
    <w:rsid w:val="00EE65B7"/>
    <w:rsid w:val="00EE74A0"/>
    <w:rsid w:val="00EE7672"/>
    <w:rsid w:val="00EE7A3F"/>
    <w:rsid w:val="00EF0719"/>
    <w:rsid w:val="00EF166C"/>
    <w:rsid w:val="00EF2F56"/>
    <w:rsid w:val="00EF3020"/>
    <w:rsid w:val="00EF31B2"/>
    <w:rsid w:val="00EF32E9"/>
    <w:rsid w:val="00EF35FC"/>
    <w:rsid w:val="00EF3BCD"/>
    <w:rsid w:val="00EF4AC6"/>
    <w:rsid w:val="00EF53B5"/>
    <w:rsid w:val="00EF712D"/>
    <w:rsid w:val="00EF7DA3"/>
    <w:rsid w:val="00F006DC"/>
    <w:rsid w:val="00F0174F"/>
    <w:rsid w:val="00F0339C"/>
    <w:rsid w:val="00F03B4A"/>
    <w:rsid w:val="00F03C00"/>
    <w:rsid w:val="00F03D63"/>
    <w:rsid w:val="00F04B38"/>
    <w:rsid w:val="00F0515E"/>
    <w:rsid w:val="00F052BE"/>
    <w:rsid w:val="00F060FF"/>
    <w:rsid w:val="00F0641D"/>
    <w:rsid w:val="00F066FF"/>
    <w:rsid w:val="00F107FE"/>
    <w:rsid w:val="00F11A3C"/>
    <w:rsid w:val="00F11C24"/>
    <w:rsid w:val="00F12221"/>
    <w:rsid w:val="00F142A4"/>
    <w:rsid w:val="00F14367"/>
    <w:rsid w:val="00F154BB"/>
    <w:rsid w:val="00F15776"/>
    <w:rsid w:val="00F1623F"/>
    <w:rsid w:val="00F164DE"/>
    <w:rsid w:val="00F16A28"/>
    <w:rsid w:val="00F2046D"/>
    <w:rsid w:val="00F20787"/>
    <w:rsid w:val="00F20A13"/>
    <w:rsid w:val="00F22538"/>
    <w:rsid w:val="00F2299D"/>
    <w:rsid w:val="00F23EDE"/>
    <w:rsid w:val="00F25313"/>
    <w:rsid w:val="00F2618E"/>
    <w:rsid w:val="00F27A38"/>
    <w:rsid w:val="00F30050"/>
    <w:rsid w:val="00F304B0"/>
    <w:rsid w:val="00F31197"/>
    <w:rsid w:val="00F318D4"/>
    <w:rsid w:val="00F31ACE"/>
    <w:rsid w:val="00F31C81"/>
    <w:rsid w:val="00F32DE9"/>
    <w:rsid w:val="00F344E0"/>
    <w:rsid w:val="00F34A6D"/>
    <w:rsid w:val="00F34C96"/>
    <w:rsid w:val="00F355A1"/>
    <w:rsid w:val="00F358EF"/>
    <w:rsid w:val="00F35A7A"/>
    <w:rsid w:val="00F363B0"/>
    <w:rsid w:val="00F363FB"/>
    <w:rsid w:val="00F36785"/>
    <w:rsid w:val="00F367AF"/>
    <w:rsid w:val="00F369A3"/>
    <w:rsid w:val="00F36F99"/>
    <w:rsid w:val="00F37547"/>
    <w:rsid w:val="00F40BF6"/>
    <w:rsid w:val="00F41406"/>
    <w:rsid w:val="00F421CF"/>
    <w:rsid w:val="00F4300D"/>
    <w:rsid w:val="00F436AC"/>
    <w:rsid w:val="00F440BA"/>
    <w:rsid w:val="00F44627"/>
    <w:rsid w:val="00F4514D"/>
    <w:rsid w:val="00F46206"/>
    <w:rsid w:val="00F46821"/>
    <w:rsid w:val="00F47665"/>
    <w:rsid w:val="00F47669"/>
    <w:rsid w:val="00F4777A"/>
    <w:rsid w:val="00F478AC"/>
    <w:rsid w:val="00F5044F"/>
    <w:rsid w:val="00F50931"/>
    <w:rsid w:val="00F5101B"/>
    <w:rsid w:val="00F5143A"/>
    <w:rsid w:val="00F517CE"/>
    <w:rsid w:val="00F51B2F"/>
    <w:rsid w:val="00F51F36"/>
    <w:rsid w:val="00F52E0B"/>
    <w:rsid w:val="00F52E9E"/>
    <w:rsid w:val="00F5359C"/>
    <w:rsid w:val="00F53C97"/>
    <w:rsid w:val="00F53D38"/>
    <w:rsid w:val="00F54DA5"/>
    <w:rsid w:val="00F550EA"/>
    <w:rsid w:val="00F557C1"/>
    <w:rsid w:val="00F55A73"/>
    <w:rsid w:val="00F55B0A"/>
    <w:rsid w:val="00F55E2B"/>
    <w:rsid w:val="00F56F9F"/>
    <w:rsid w:val="00F57237"/>
    <w:rsid w:val="00F57D96"/>
    <w:rsid w:val="00F57EB7"/>
    <w:rsid w:val="00F61109"/>
    <w:rsid w:val="00F62C9C"/>
    <w:rsid w:val="00F63E66"/>
    <w:rsid w:val="00F65053"/>
    <w:rsid w:val="00F65C7E"/>
    <w:rsid w:val="00F65DF3"/>
    <w:rsid w:val="00F66007"/>
    <w:rsid w:val="00F666B4"/>
    <w:rsid w:val="00F6791B"/>
    <w:rsid w:val="00F67B76"/>
    <w:rsid w:val="00F67EFA"/>
    <w:rsid w:val="00F70828"/>
    <w:rsid w:val="00F72336"/>
    <w:rsid w:val="00F727F0"/>
    <w:rsid w:val="00F73653"/>
    <w:rsid w:val="00F739A4"/>
    <w:rsid w:val="00F74566"/>
    <w:rsid w:val="00F74673"/>
    <w:rsid w:val="00F75159"/>
    <w:rsid w:val="00F76291"/>
    <w:rsid w:val="00F76550"/>
    <w:rsid w:val="00F76927"/>
    <w:rsid w:val="00F77D3E"/>
    <w:rsid w:val="00F77F92"/>
    <w:rsid w:val="00F8022F"/>
    <w:rsid w:val="00F80776"/>
    <w:rsid w:val="00F8147C"/>
    <w:rsid w:val="00F8197E"/>
    <w:rsid w:val="00F81B0A"/>
    <w:rsid w:val="00F822B0"/>
    <w:rsid w:val="00F82F69"/>
    <w:rsid w:val="00F84F0F"/>
    <w:rsid w:val="00F850F9"/>
    <w:rsid w:val="00F86506"/>
    <w:rsid w:val="00F86F84"/>
    <w:rsid w:val="00F870E4"/>
    <w:rsid w:val="00F87142"/>
    <w:rsid w:val="00F871C1"/>
    <w:rsid w:val="00F878C2"/>
    <w:rsid w:val="00F87A69"/>
    <w:rsid w:val="00F90D23"/>
    <w:rsid w:val="00F914A6"/>
    <w:rsid w:val="00F91531"/>
    <w:rsid w:val="00F91D62"/>
    <w:rsid w:val="00F93DB3"/>
    <w:rsid w:val="00F93E9A"/>
    <w:rsid w:val="00F947D5"/>
    <w:rsid w:val="00F956AD"/>
    <w:rsid w:val="00F95EA3"/>
    <w:rsid w:val="00F9698F"/>
    <w:rsid w:val="00F96C0A"/>
    <w:rsid w:val="00F96FF3"/>
    <w:rsid w:val="00F9766A"/>
    <w:rsid w:val="00F97D7E"/>
    <w:rsid w:val="00F97FB4"/>
    <w:rsid w:val="00FA03FA"/>
    <w:rsid w:val="00FA048F"/>
    <w:rsid w:val="00FA0C9E"/>
    <w:rsid w:val="00FA200F"/>
    <w:rsid w:val="00FA209F"/>
    <w:rsid w:val="00FA337F"/>
    <w:rsid w:val="00FA42E7"/>
    <w:rsid w:val="00FA44BE"/>
    <w:rsid w:val="00FA6381"/>
    <w:rsid w:val="00FA63E7"/>
    <w:rsid w:val="00FA6A55"/>
    <w:rsid w:val="00FA777B"/>
    <w:rsid w:val="00FA778C"/>
    <w:rsid w:val="00FB1089"/>
    <w:rsid w:val="00FB10F4"/>
    <w:rsid w:val="00FB158E"/>
    <w:rsid w:val="00FB166D"/>
    <w:rsid w:val="00FB1B43"/>
    <w:rsid w:val="00FB2497"/>
    <w:rsid w:val="00FB3012"/>
    <w:rsid w:val="00FB3274"/>
    <w:rsid w:val="00FB331C"/>
    <w:rsid w:val="00FB5810"/>
    <w:rsid w:val="00FB5E39"/>
    <w:rsid w:val="00FB6602"/>
    <w:rsid w:val="00FB7850"/>
    <w:rsid w:val="00FB78AD"/>
    <w:rsid w:val="00FB7FA5"/>
    <w:rsid w:val="00FC0243"/>
    <w:rsid w:val="00FC0479"/>
    <w:rsid w:val="00FC17F9"/>
    <w:rsid w:val="00FC1820"/>
    <w:rsid w:val="00FC27A9"/>
    <w:rsid w:val="00FC327D"/>
    <w:rsid w:val="00FC33F4"/>
    <w:rsid w:val="00FC3602"/>
    <w:rsid w:val="00FC425C"/>
    <w:rsid w:val="00FC473F"/>
    <w:rsid w:val="00FC4E6F"/>
    <w:rsid w:val="00FC4FE5"/>
    <w:rsid w:val="00FC5A31"/>
    <w:rsid w:val="00FC5C16"/>
    <w:rsid w:val="00FC6200"/>
    <w:rsid w:val="00FC6E3D"/>
    <w:rsid w:val="00FC7335"/>
    <w:rsid w:val="00FC78A2"/>
    <w:rsid w:val="00FD0CBF"/>
    <w:rsid w:val="00FD1756"/>
    <w:rsid w:val="00FD1A68"/>
    <w:rsid w:val="00FD1AC2"/>
    <w:rsid w:val="00FD2307"/>
    <w:rsid w:val="00FD2CB9"/>
    <w:rsid w:val="00FD2E59"/>
    <w:rsid w:val="00FD3200"/>
    <w:rsid w:val="00FD3259"/>
    <w:rsid w:val="00FD32A4"/>
    <w:rsid w:val="00FD5430"/>
    <w:rsid w:val="00FD5983"/>
    <w:rsid w:val="00FD65F8"/>
    <w:rsid w:val="00FD78ED"/>
    <w:rsid w:val="00FE19B2"/>
    <w:rsid w:val="00FE1E13"/>
    <w:rsid w:val="00FE1E97"/>
    <w:rsid w:val="00FE1F3D"/>
    <w:rsid w:val="00FE1FEA"/>
    <w:rsid w:val="00FE27D4"/>
    <w:rsid w:val="00FE2835"/>
    <w:rsid w:val="00FE34C3"/>
    <w:rsid w:val="00FE432F"/>
    <w:rsid w:val="00FE5354"/>
    <w:rsid w:val="00FE54DA"/>
    <w:rsid w:val="00FE7B6C"/>
    <w:rsid w:val="00FF0A38"/>
    <w:rsid w:val="00FF0FCC"/>
    <w:rsid w:val="00FF1AB4"/>
    <w:rsid w:val="00FF3196"/>
    <w:rsid w:val="00FF3803"/>
    <w:rsid w:val="00FF3B72"/>
    <w:rsid w:val="00FF407C"/>
    <w:rsid w:val="00FF42B6"/>
    <w:rsid w:val="00FF4A83"/>
    <w:rsid w:val="00FF4FC3"/>
    <w:rsid w:val="00FF5998"/>
    <w:rsid w:val="00FF6163"/>
    <w:rsid w:val="00FF639D"/>
    <w:rsid w:val="00FF6AE3"/>
    <w:rsid w:val="00FF6D8F"/>
    <w:rsid w:val="592F386F"/>
    <w:rsid w:val="59C36F3F"/>
    <w:rsid w:val="68A03528"/>
    <w:rsid w:val="6B9F4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99" w:semiHidden="0" w:name="footer"/>
    <w:lsdException w:qFormat="1" w:unhideWhenUsed="0" w:uiPriority="0"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nhideWhenUsed="0" w:uiPriority="6"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qFormat="1" w:unhideWhenUsed="0" w:uiPriority="61" w:semiHidden="0" w:name="Light List"/>
    <w:lsdException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300" w:lineRule="auto"/>
      <w:jc w:val="both"/>
      <w:textAlignment w:val="baseline"/>
    </w:pPr>
    <w:rPr>
      <w:rFonts w:ascii="Times New Roman" w:hAnsi="Times New Roman" w:eastAsia="宋体" w:cs="Times New Roman"/>
      <w:sz w:val="22"/>
      <w:lang w:val="en-US" w:eastAsia="zh-CN" w:bidi="ar-SA"/>
    </w:rPr>
  </w:style>
  <w:style w:type="paragraph" w:styleId="2">
    <w:name w:val="heading 1"/>
    <w:next w:val="1"/>
    <w:link w:val="126"/>
    <w:qFormat/>
    <w:uiPriority w:val="0"/>
    <w:pPr>
      <w:keepNext/>
      <w:keepLines/>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121"/>
    <w:qFormat/>
    <w:uiPriority w:val="9"/>
    <w:pPr>
      <w:outlineLvl w:val="3"/>
    </w:pPr>
    <w:rPr>
      <w:sz w:val="24"/>
    </w:rPr>
  </w:style>
  <w:style w:type="paragraph" w:styleId="6">
    <w:name w:val="heading 5"/>
    <w:basedOn w:val="5"/>
    <w:next w:val="1"/>
    <w:qFormat/>
    <w:uiPriority w:val="9"/>
    <w:pPr>
      <w:outlineLvl w:val="4"/>
    </w:pPr>
    <w:rPr>
      <w:sz w:val="22"/>
    </w:rPr>
  </w:style>
  <w:style w:type="paragraph" w:styleId="7">
    <w:name w:val="heading 6"/>
    <w:basedOn w:val="8"/>
    <w:next w:val="1"/>
    <w:qFormat/>
    <w:uiPriority w:val="9"/>
    <w:pPr>
      <w:ind w:left="0" w:firstLine="0"/>
      <w:outlineLvl w:val="5"/>
    </w:pPr>
    <w:rPr>
      <w:b w:val="0"/>
      <w:sz w:val="20"/>
    </w:rPr>
  </w:style>
  <w:style w:type="paragraph" w:styleId="9">
    <w:name w:val="heading 7"/>
    <w:basedOn w:val="8"/>
    <w:next w:val="1"/>
    <w:qFormat/>
    <w:uiPriority w:val="9"/>
    <w:pPr>
      <w:ind w:left="0" w:firstLine="0"/>
      <w:outlineLvl w:val="6"/>
    </w:pPr>
    <w:rPr>
      <w:b w:val="0"/>
      <w:sz w:val="20"/>
    </w:rPr>
  </w:style>
  <w:style w:type="paragraph" w:styleId="10">
    <w:name w:val="heading 8"/>
    <w:basedOn w:val="2"/>
    <w:next w:val="1"/>
    <w:qFormat/>
    <w:uiPriority w:val="9"/>
    <w:pPr>
      <w:outlineLvl w:val="7"/>
    </w:pPr>
  </w:style>
  <w:style w:type="paragraph" w:styleId="11">
    <w:name w:val="heading 9"/>
    <w:basedOn w:val="10"/>
    <w:next w:val="1"/>
    <w:qFormat/>
    <w:uiPriority w:val="9"/>
    <w:pPr>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4">
    <w:name w:val="Balloon Text"/>
    <w:basedOn w:val="1"/>
    <w:qFormat/>
    <w:uiPriority w:val="0"/>
    <w:pPr>
      <w:spacing w:after="0"/>
    </w:pPr>
    <w:rPr>
      <w:rFonts w:ascii="Tahoma" w:hAnsi="Tahoma" w:cs="Tahoma"/>
      <w:sz w:val="16"/>
      <w:szCs w:val="16"/>
    </w:rPr>
  </w:style>
  <w:style w:type="paragraph" w:styleId="15">
    <w:name w:val="Body Text"/>
    <w:basedOn w:val="1"/>
    <w:link w:val="94"/>
    <w:semiHidden/>
    <w:qFormat/>
    <w:uiPriority w:val="0"/>
    <w:pPr>
      <w:spacing w:after="120"/>
    </w:pPr>
  </w:style>
  <w:style w:type="paragraph" w:styleId="16">
    <w:name w:val="caption"/>
    <w:basedOn w:val="1"/>
    <w:next w:val="1"/>
    <w:link w:val="116"/>
    <w:unhideWhenUsed/>
    <w:qFormat/>
    <w:uiPriority w:val="35"/>
    <w:rPr>
      <w:b/>
      <w:bCs/>
      <w:sz w:val="20"/>
    </w:rPr>
  </w:style>
  <w:style w:type="character" w:styleId="17">
    <w:name w:val="annotation reference"/>
    <w:semiHidden/>
    <w:qFormat/>
    <w:uiPriority w:val="0"/>
    <w:rPr>
      <w:sz w:val="16"/>
      <w:szCs w:val="16"/>
    </w:rPr>
  </w:style>
  <w:style w:type="paragraph" w:styleId="18">
    <w:name w:val="annotation text"/>
    <w:basedOn w:val="1"/>
    <w:link w:val="120"/>
    <w:semiHidden/>
    <w:qFormat/>
    <w:uiPriority w:val="0"/>
  </w:style>
  <w:style w:type="paragraph" w:styleId="19">
    <w:name w:val="annotation subject"/>
    <w:basedOn w:val="18"/>
    <w:next w:val="18"/>
    <w:qFormat/>
    <w:uiPriority w:val="0"/>
    <w:rPr>
      <w:b/>
      <w:bCs/>
    </w:rPr>
  </w:style>
  <w:style w:type="paragraph" w:styleId="20">
    <w:name w:val="Document Map"/>
    <w:basedOn w:val="1"/>
    <w:semiHidden/>
    <w:qFormat/>
    <w:uiPriority w:val="0"/>
    <w:rPr>
      <w:rFonts w:ascii="Tahoma" w:hAnsi="Tahoma" w:cs="Tahoma"/>
      <w:sz w:val="16"/>
      <w:szCs w:val="16"/>
    </w:rPr>
  </w:style>
  <w:style w:type="character" w:styleId="21">
    <w:name w:val="FollowedHyperlink"/>
    <w:basedOn w:val="12"/>
    <w:semiHidden/>
    <w:unhideWhenUsed/>
    <w:uiPriority w:val="99"/>
    <w:rPr>
      <w:color w:val="954F72" w:themeColor="followedHyperlink"/>
      <w:u w:val="single"/>
      <w14:textFill>
        <w14:solidFill>
          <w14:schemeClr w14:val="folHlink"/>
        </w14:solidFill>
      </w14:textFill>
    </w:rPr>
  </w:style>
  <w:style w:type="paragraph" w:styleId="22">
    <w:name w:val="footer"/>
    <w:basedOn w:val="1"/>
    <w:link w:val="112"/>
    <w:qFormat/>
    <w:uiPriority w:val="99"/>
    <w:pPr>
      <w:tabs>
        <w:tab w:val="center" w:pos="4153"/>
        <w:tab w:val="right" w:pos="8306"/>
      </w:tabs>
    </w:pPr>
  </w:style>
  <w:style w:type="paragraph" w:styleId="23">
    <w:name w:val="header"/>
    <w:basedOn w:val="1"/>
    <w:semiHidden/>
    <w:qFormat/>
    <w:uiPriority w:val="0"/>
    <w:pPr>
      <w:tabs>
        <w:tab w:val="center" w:pos="4153"/>
        <w:tab w:val="right" w:pos="8306"/>
      </w:tabs>
    </w:pPr>
  </w:style>
  <w:style w:type="character" w:styleId="24">
    <w:name w:val="Hyperlink"/>
    <w:qFormat/>
    <w:uiPriority w:val="99"/>
    <w:rPr>
      <w:color w:val="0000FF"/>
      <w:u w:val="single"/>
    </w:rPr>
  </w:style>
  <w:style w:type="paragraph" w:styleId="25">
    <w:name w:val="index 1"/>
    <w:basedOn w:val="1"/>
    <w:next w:val="1"/>
    <w:semiHidden/>
    <w:qFormat/>
    <w:uiPriority w:val="0"/>
    <w:pPr>
      <w:ind w:left="200" w:hanging="200"/>
    </w:pPr>
  </w:style>
  <w:style w:type="paragraph" w:styleId="26">
    <w:name w:val="index heading"/>
    <w:basedOn w:val="1"/>
    <w:next w:val="1"/>
    <w:semiHidden/>
    <w:qFormat/>
    <w:uiPriority w:val="0"/>
    <w:pPr>
      <w:pBdr>
        <w:top w:val="single" w:color="auto" w:sz="12" w:space="0"/>
      </w:pBdr>
      <w:overflowPunct/>
      <w:autoSpaceDE/>
      <w:autoSpaceDN/>
      <w:adjustRightInd/>
      <w:spacing w:before="360" w:after="240"/>
      <w:textAlignment w:val="auto"/>
    </w:pPr>
    <w:rPr>
      <w:b/>
      <w:i/>
      <w:sz w:val="26"/>
      <w:lang w:eastAsia="en-US"/>
    </w:rPr>
  </w:style>
  <w:style w:type="paragraph" w:styleId="27">
    <w:name w:val="List Number"/>
    <w:basedOn w:val="1"/>
    <w:qFormat/>
    <w:uiPriority w:val="6"/>
    <w:pPr>
      <w:numPr>
        <w:ilvl w:val="0"/>
        <w:numId w:val="1"/>
      </w:numPr>
      <w:overflowPunct/>
      <w:autoSpaceDE/>
      <w:autoSpaceDN/>
      <w:adjustRightInd/>
      <w:spacing w:after="200" w:line="276" w:lineRule="auto"/>
      <w:contextualSpacing/>
      <w:textAlignment w:val="auto"/>
    </w:pPr>
    <w:rPr>
      <w:rFonts w:ascii="Arial" w:hAnsi="Arial"/>
      <w:lang w:bidi="bn-BD"/>
    </w:rPr>
  </w:style>
  <w:style w:type="paragraph" w:styleId="28">
    <w:name w:val="Normal (Web)"/>
    <w:basedOn w:val="1"/>
    <w:semiHidden/>
    <w:unhideWhenUsed/>
    <w:qFormat/>
    <w:uiPriority w:val="0"/>
    <w:pPr>
      <w:overflowPunct/>
      <w:autoSpaceDE/>
      <w:autoSpaceDN/>
      <w:adjustRightInd/>
      <w:spacing w:before="100" w:beforeAutospacing="1" w:after="100" w:afterAutospacing="1"/>
      <w:textAlignment w:val="auto"/>
    </w:pPr>
    <w:rPr>
      <w:sz w:val="24"/>
      <w:szCs w:val="24"/>
      <w:lang w:eastAsia="en-US"/>
    </w:rPr>
  </w:style>
  <w:style w:type="paragraph" w:styleId="29">
    <w:name w:val="Plain Text"/>
    <w:basedOn w:val="1"/>
    <w:semiHidden/>
    <w:qFormat/>
    <w:uiPriority w:val="0"/>
    <w:pPr>
      <w:overflowPunct/>
      <w:autoSpaceDE/>
      <w:autoSpaceDN/>
      <w:adjustRightInd/>
      <w:textAlignment w:val="auto"/>
    </w:pPr>
    <w:rPr>
      <w:rFonts w:ascii="Courier New" w:hAnsi="Courier New"/>
      <w:lang w:val="nb-NO" w:eastAsia="en-US"/>
    </w:rPr>
  </w:style>
  <w:style w:type="table" w:styleId="30">
    <w:name w:val="Table Grid"/>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
    <w:name w:val="Title"/>
    <w:basedOn w:val="3"/>
    <w:link w:val="95"/>
    <w:qFormat/>
    <w:uiPriority w:val="10"/>
    <w:pPr>
      <w:spacing w:after="120"/>
    </w:pPr>
    <w:rPr>
      <w:rFonts w:eastAsia="MS Mincho"/>
      <w:b/>
      <w:sz w:val="24"/>
      <w:lang w:val="de-DE" w:eastAsia="en-US"/>
    </w:rPr>
  </w:style>
  <w:style w:type="paragraph" w:styleId="3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ja-JP" w:bidi="ar-SA"/>
    </w:rPr>
  </w:style>
  <w:style w:type="paragraph" w:styleId="33">
    <w:name w:val="toc 2"/>
    <w:basedOn w:val="32"/>
    <w:next w:val="1"/>
    <w:semiHidden/>
    <w:qFormat/>
    <w:uiPriority w:val="0"/>
    <w:pPr>
      <w:keepNext w:val="0"/>
      <w:spacing w:before="0"/>
      <w:ind w:left="851" w:hanging="851"/>
    </w:pPr>
    <w:rPr>
      <w:sz w:val="20"/>
    </w:rPr>
  </w:style>
  <w:style w:type="paragraph" w:styleId="34">
    <w:name w:val="toc 3"/>
    <w:basedOn w:val="33"/>
    <w:next w:val="1"/>
    <w:semiHidden/>
    <w:qFormat/>
    <w:uiPriority w:val="0"/>
    <w:pPr>
      <w:ind w:left="1134" w:hanging="1134"/>
    </w:pPr>
  </w:style>
  <w:style w:type="paragraph" w:styleId="35">
    <w:name w:val="toc 4"/>
    <w:basedOn w:val="34"/>
    <w:next w:val="1"/>
    <w:semiHidden/>
    <w:qFormat/>
    <w:uiPriority w:val="0"/>
    <w:pPr>
      <w:ind w:left="1418" w:hanging="1418"/>
    </w:pPr>
  </w:style>
  <w:style w:type="paragraph" w:styleId="36">
    <w:name w:val="toc 5"/>
    <w:basedOn w:val="35"/>
    <w:next w:val="1"/>
    <w:semiHidden/>
    <w:qFormat/>
    <w:uiPriority w:val="0"/>
    <w:pPr>
      <w:ind w:left="1701" w:hanging="1701"/>
    </w:pPr>
  </w:style>
  <w:style w:type="paragraph" w:styleId="37">
    <w:name w:val="toc 6"/>
    <w:basedOn w:val="36"/>
    <w:next w:val="1"/>
    <w:semiHidden/>
    <w:qFormat/>
    <w:uiPriority w:val="0"/>
    <w:pPr>
      <w:ind w:left="1985" w:hanging="1985"/>
    </w:pPr>
  </w:style>
  <w:style w:type="paragraph" w:styleId="38">
    <w:name w:val="toc 7"/>
    <w:basedOn w:val="37"/>
    <w:next w:val="1"/>
    <w:semiHidden/>
    <w:qFormat/>
    <w:uiPriority w:val="0"/>
    <w:pPr>
      <w:ind w:left="2268" w:hanging="2268"/>
    </w:pPr>
  </w:style>
  <w:style w:type="paragraph" w:styleId="39">
    <w:name w:val="toc 8"/>
    <w:basedOn w:val="32"/>
    <w:next w:val="1"/>
    <w:semiHidden/>
    <w:qFormat/>
    <w:uiPriority w:val="0"/>
    <w:pPr>
      <w:spacing w:before="180"/>
      <w:ind w:left="2693" w:hanging="2693"/>
    </w:pPr>
    <w:rPr>
      <w:b/>
    </w:rPr>
  </w:style>
  <w:style w:type="paragraph" w:styleId="40">
    <w:name w:val="toc 9"/>
    <w:basedOn w:val="39"/>
    <w:next w:val="1"/>
    <w:semiHidden/>
    <w:qFormat/>
    <w:uiPriority w:val="0"/>
    <w:pPr>
      <w:ind w:left="1418" w:hanging="1418"/>
    </w:p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ja-JP" w:bidi="ar-SA"/>
    </w:rPr>
  </w:style>
  <w:style w:type="paragraph" w:customStyle="1" w:styleId="4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sz w:val="22"/>
      <w:lang w:val="en-GB" w:eastAsia="ja-JP" w:bidi="ar-SA"/>
    </w:rPr>
  </w:style>
  <w:style w:type="paragraph" w:customStyle="1" w:styleId="43">
    <w:name w:val="ZC"/>
    <w:qFormat/>
    <w:uiPriority w:val="0"/>
    <w:pPr>
      <w:overflowPunct w:val="0"/>
      <w:autoSpaceDE w:val="0"/>
      <w:autoSpaceDN w:val="0"/>
      <w:adjustRightInd w:val="0"/>
      <w:spacing w:line="360" w:lineRule="atLeast"/>
      <w:jc w:val="center"/>
      <w:textAlignment w:val="baseline"/>
    </w:pPr>
    <w:rPr>
      <w:rFonts w:ascii="Arial" w:hAnsi="Arial" w:eastAsia="宋体" w:cs="Times New Roman"/>
      <w:sz w:val="22"/>
      <w:lang w:val="en-GB" w:eastAsia="en-US" w:bidi="ar-SA"/>
    </w:rPr>
  </w:style>
  <w:style w:type="paragraph" w:customStyle="1" w:styleId="44">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宋体" w:cs="Times New Roman"/>
      <w:sz w:val="22"/>
      <w:lang w:val="en-GB" w:eastAsia="en-US" w:bidi="ar-SA"/>
    </w:rPr>
  </w:style>
  <w:style w:type="paragraph" w:customStyle="1" w:styleId="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ja-JP" w:bidi="ar-SA"/>
    </w:rPr>
  </w:style>
  <w:style w:type="paragraph" w:customStyle="1" w:styleId="4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sz w:val="22"/>
      <w:lang w:val="en-GB" w:eastAsia="ja-JP" w:bidi="ar-SA"/>
    </w:rPr>
  </w:style>
  <w:style w:type="paragraph" w:customStyle="1" w:styleId="47">
    <w:name w:val="TT"/>
    <w:basedOn w:val="2"/>
    <w:next w:val="1"/>
    <w:qFormat/>
    <w:uiPriority w:val="0"/>
    <w:pPr>
      <w:outlineLvl w:val="9"/>
    </w:pPr>
  </w:style>
  <w:style w:type="paragraph" w:customStyle="1" w:styleId="48">
    <w:name w:val="TAH"/>
    <w:basedOn w:val="49"/>
    <w:link w:val="97"/>
    <w:qFormat/>
    <w:uiPriority w:val="0"/>
    <w:rPr>
      <w:b/>
    </w:rPr>
  </w:style>
  <w:style w:type="paragraph" w:customStyle="1" w:styleId="49">
    <w:name w:val="TAC"/>
    <w:basedOn w:val="50"/>
    <w:link w:val="93"/>
    <w:qFormat/>
    <w:uiPriority w:val="0"/>
    <w:pPr>
      <w:jc w:val="center"/>
    </w:pPr>
  </w:style>
  <w:style w:type="paragraph" w:customStyle="1" w:styleId="50">
    <w:name w:val="TAL"/>
    <w:basedOn w:val="1"/>
    <w:link w:val="91"/>
    <w:qFormat/>
    <w:uiPriority w:val="0"/>
    <w:pPr>
      <w:keepNext/>
      <w:keepLines/>
      <w:spacing w:after="0"/>
    </w:pPr>
    <w:rPr>
      <w:rFonts w:ascii="Arial" w:hAnsi="Arial"/>
      <w:sz w:val="18"/>
    </w:rPr>
  </w:style>
  <w:style w:type="paragraph" w:customStyle="1" w:styleId="51">
    <w:name w:val="TAJ"/>
    <w:basedOn w:val="1"/>
    <w:qFormat/>
    <w:uiPriority w:val="0"/>
    <w:pPr>
      <w:keepNext/>
      <w:keepLines/>
    </w:pPr>
    <w:rPr>
      <w:rFonts w:eastAsia="Times New Roman"/>
      <w:lang w:eastAsia="en-US"/>
    </w:rPr>
  </w:style>
  <w:style w:type="paragraph" w:customStyle="1" w:styleId="52">
    <w:name w:val="NO"/>
    <w:basedOn w:val="1"/>
    <w:link w:val="109"/>
    <w:qFormat/>
    <w:uiPriority w:val="0"/>
    <w:pPr>
      <w:keepLines/>
      <w:ind w:left="1135" w:hanging="851"/>
    </w:pPr>
    <w:rPr>
      <w:rFonts w:eastAsia="Times New Roman"/>
      <w:color w:val="000000"/>
    </w:rPr>
  </w:style>
  <w:style w:type="paragraph" w:customStyle="1" w:styleId="53">
    <w:name w:val="HO"/>
    <w:basedOn w:val="1"/>
    <w:qFormat/>
    <w:uiPriority w:val="0"/>
    <w:pPr>
      <w:jc w:val="right"/>
    </w:pPr>
    <w:rPr>
      <w:rFonts w:eastAsia="Times New Roman"/>
      <w:b/>
      <w:lang w:eastAsia="en-US"/>
    </w:rPr>
  </w:style>
  <w:style w:type="paragraph" w:customStyle="1" w:styleId="54">
    <w:name w:val="HE"/>
    <w:basedOn w:val="1"/>
    <w:qFormat/>
    <w:uiPriority w:val="0"/>
    <w:rPr>
      <w:rFonts w:eastAsia="Times New Roman"/>
      <w:b/>
      <w:lang w:eastAsia="en-US"/>
    </w:rPr>
  </w:style>
  <w:style w:type="paragraph" w:customStyle="1" w:styleId="55">
    <w:name w:val="EX"/>
    <w:basedOn w:val="1"/>
    <w:qFormat/>
    <w:uiPriority w:val="0"/>
    <w:pPr>
      <w:keepLines/>
      <w:ind w:left="1702" w:hanging="1418"/>
    </w:pPr>
    <w:rPr>
      <w:rFonts w:eastAsia="Times New Roman"/>
      <w:color w:val="000000"/>
    </w:rPr>
  </w:style>
  <w:style w:type="paragraph" w:customStyle="1" w:styleId="56">
    <w:name w:val="FP"/>
    <w:basedOn w:val="1"/>
    <w:qFormat/>
    <w:uiPriority w:val="0"/>
    <w:pPr>
      <w:spacing w:after="0"/>
    </w:pPr>
    <w:rPr>
      <w:rFonts w:eastAsia="Times New Roman"/>
      <w:color w:val="000000"/>
    </w:rPr>
  </w:style>
  <w:style w:type="paragraph" w:customStyle="1" w:styleId="57">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sz w:val="22"/>
      <w:lang w:val="en-GB" w:eastAsia="ja-JP" w:bidi="ar-SA"/>
    </w:rPr>
  </w:style>
  <w:style w:type="paragraph" w:customStyle="1" w:styleId="58">
    <w:name w:val="NW"/>
    <w:basedOn w:val="52"/>
    <w:qFormat/>
    <w:uiPriority w:val="0"/>
    <w:pPr>
      <w:spacing w:after="0"/>
    </w:pPr>
  </w:style>
  <w:style w:type="paragraph" w:customStyle="1" w:styleId="59">
    <w:name w:val="EW"/>
    <w:basedOn w:val="55"/>
    <w:qFormat/>
    <w:uiPriority w:val="0"/>
    <w:pPr>
      <w:spacing w:after="0"/>
    </w:pPr>
  </w:style>
  <w:style w:type="paragraph" w:customStyle="1" w:styleId="60">
    <w:name w:val="B2"/>
    <w:basedOn w:val="1"/>
    <w:link w:val="99"/>
    <w:qFormat/>
    <w:uiPriority w:val="0"/>
    <w:pPr>
      <w:ind w:left="851" w:hanging="284"/>
    </w:pPr>
  </w:style>
  <w:style w:type="paragraph" w:customStyle="1" w:styleId="61">
    <w:name w:val="B1"/>
    <w:basedOn w:val="1"/>
    <w:link w:val="119"/>
    <w:qFormat/>
    <w:uiPriority w:val="0"/>
    <w:pPr>
      <w:ind w:left="568" w:hanging="284"/>
    </w:pPr>
  </w:style>
  <w:style w:type="paragraph" w:customStyle="1" w:styleId="62">
    <w:name w:val="B3"/>
    <w:basedOn w:val="1"/>
    <w:link w:val="108"/>
    <w:qFormat/>
    <w:uiPriority w:val="0"/>
    <w:pPr>
      <w:ind w:left="1135" w:hanging="284"/>
    </w:pPr>
  </w:style>
  <w:style w:type="paragraph" w:customStyle="1" w:styleId="63">
    <w:name w:val="B4"/>
    <w:basedOn w:val="1"/>
    <w:link w:val="124"/>
    <w:qFormat/>
    <w:uiPriority w:val="0"/>
    <w:pPr>
      <w:ind w:left="1418" w:hanging="284"/>
    </w:pPr>
  </w:style>
  <w:style w:type="paragraph" w:customStyle="1" w:styleId="64">
    <w:name w:val="B5"/>
    <w:basedOn w:val="1"/>
    <w:qFormat/>
    <w:uiPriority w:val="0"/>
    <w:pPr>
      <w:ind w:left="1702" w:hanging="284"/>
    </w:pPr>
  </w:style>
  <w:style w:type="paragraph" w:customStyle="1" w:styleId="65">
    <w:name w:val="EQ"/>
    <w:basedOn w:val="1"/>
    <w:next w:val="1"/>
    <w:qFormat/>
    <w:uiPriority w:val="0"/>
    <w:pPr>
      <w:keepLines/>
      <w:tabs>
        <w:tab w:val="center" w:pos="4536"/>
        <w:tab w:val="right" w:pos="9072"/>
      </w:tabs>
    </w:pPr>
    <w:rPr>
      <w:rFonts w:eastAsia="Times New Roman"/>
      <w:color w:val="000000"/>
    </w:rPr>
  </w:style>
  <w:style w:type="paragraph" w:customStyle="1" w:styleId="66">
    <w:name w:val="TH"/>
    <w:basedOn w:val="1"/>
    <w:link w:val="98"/>
    <w:qFormat/>
    <w:uiPriority w:val="0"/>
    <w:pPr>
      <w:keepNext/>
      <w:keepLines/>
      <w:spacing w:before="60"/>
      <w:jc w:val="center"/>
    </w:pPr>
    <w:rPr>
      <w:rFonts w:ascii="Arial" w:hAnsi="Arial"/>
      <w:b/>
    </w:rPr>
  </w:style>
  <w:style w:type="paragraph" w:customStyle="1" w:styleId="67">
    <w:name w:val="TF"/>
    <w:basedOn w:val="66"/>
    <w:qFormat/>
    <w:uiPriority w:val="0"/>
    <w:pPr>
      <w:keepNext w:val="0"/>
      <w:spacing w:before="0" w:after="240"/>
    </w:pPr>
  </w:style>
  <w:style w:type="paragraph" w:customStyle="1" w:styleId="68">
    <w:name w:val="NF"/>
    <w:basedOn w:val="52"/>
    <w:qFormat/>
    <w:uiPriority w:val="0"/>
    <w:pPr>
      <w:keepNext/>
      <w:spacing w:after="0"/>
    </w:pPr>
    <w:rPr>
      <w:rFonts w:ascii="Arial" w:hAnsi="Arial"/>
      <w:sz w:val="18"/>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ja-JP" w:bidi="ar-SA"/>
    </w:rPr>
  </w:style>
  <w:style w:type="paragraph" w:customStyle="1" w:styleId="70">
    <w:name w:val="TAR"/>
    <w:basedOn w:val="50"/>
    <w:qFormat/>
    <w:uiPriority w:val="0"/>
    <w:pPr>
      <w:jc w:val="right"/>
    </w:pPr>
  </w:style>
  <w:style w:type="paragraph" w:customStyle="1" w:styleId="71">
    <w:name w:val="TAN"/>
    <w:basedOn w:val="50"/>
    <w:qFormat/>
    <w:uiPriority w:val="0"/>
    <w:pPr>
      <w:ind w:left="851" w:hanging="851"/>
    </w:pPr>
  </w:style>
  <w:style w:type="character" w:customStyle="1" w:styleId="72">
    <w:name w:val="ZGSM"/>
    <w:qFormat/>
    <w:uiPriority w:val="0"/>
  </w:style>
  <w:style w:type="paragraph" w:customStyle="1" w:styleId="73">
    <w:name w:val="AP"/>
    <w:basedOn w:val="1"/>
    <w:qFormat/>
    <w:uiPriority w:val="0"/>
    <w:pPr>
      <w:ind w:left="2127" w:hanging="2127"/>
    </w:pPr>
    <w:rPr>
      <w:b/>
      <w:color w:val="FF0000"/>
    </w:rPr>
  </w:style>
  <w:style w:type="paragraph" w:customStyle="1" w:styleId="74">
    <w:name w:val="Editor's Note"/>
    <w:basedOn w:val="52"/>
    <w:qFormat/>
    <w:uiPriority w:val="0"/>
    <w:rPr>
      <w:color w:val="FF0000"/>
      <w:lang w:eastAsia="ja-JP"/>
    </w:rPr>
  </w:style>
  <w:style w:type="paragraph" w:customStyle="1" w:styleId="7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ja-JP" w:bidi="ar-SA"/>
    </w:rPr>
  </w:style>
  <w:style w:type="paragraph" w:customStyle="1" w:styleId="7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sz w:val="22"/>
      <w:lang w:val="en-GB" w:eastAsia="ja-JP" w:bidi="ar-SA"/>
    </w:rPr>
  </w:style>
  <w:style w:type="paragraph" w:customStyle="1" w:styleId="7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sz w:val="22"/>
      <w:lang w:val="en-GB" w:eastAsia="ja-JP" w:bidi="ar-SA"/>
    </w:rPr>
  </w:style>
  <w:style w:type="paragraph" w:customStyle="1" w:styleId="78">
    <w:name w:val="ZTD"/>
    <w:basedOn w:val="42"/>
    <w:qFormat/>
    <w:uiPriority w:val="0"/>
    <w:pPr>
      <w:framePr w:hRule="auto" w:y="852"/>
    </w:pPr>
    <w:rPr>
      <w:i w:val="0"/>
      <w:sz w:val="40"/>
    </w:rPr>
  </w:style>
  <w:style w:type="paragraph" w:customStyle="1" w:styleId="79">
    <w:name w:val="ZV"/>
    <w:basedOn w:val="46"/>
    <w:uiPriority w:val="0"/>
    <w:pPr>
      <w:framePr w:y="16161"/>
    </w:pPr>
  </w:style>
  <w:style w:type="character" w:customStyle="1" w:styleId="80">
    <w:name w:val="Char Char5"/>
    <w:qFormat/>
    <w:uiPriority w:val="0"/>
    <w:rPr>
      <w:rFonts w:ascii="Tahoma" w:hAnsi="Tahoma" w:cs="Tahoma"/>
      <w:color w:val="000000"/>
      <w:sz w:val="16"/>
      <w:szCs w:val="16"/>
      <w:lang w:val="en-GB" w:eastAsia="ja-JP"/>
    </w:rPr>
  </w:style>
  <w:style w:type="character" w:customStyle="1" w:styleId="81">
    <w:name w:val="H2 Char"/>
    <w:qFormat/>
    <w:uiPriority w:val="0"/>
    <w:rPr>
      <w:rFonts w:ascii="Arial" w:hAnsi="Arial"/>
      <w:sz w:val="32"/>
      <w:lang w:val="en-GB" w:eastAsia="ja-JP"/>
    </w:rPr>
  </w:style>
  <w:style w:type="character" w:customStyle="1" w:styleId="82">
    <w:name w:val="B1 Char"/>
    <w:qFormat/>
    <w:uiPriority w:val="0"/>
    <w:rPr>
      <w:color w:val="000000"/>
      <w:lang w:val="en-GB" w:eastAsia="ja-JP"/>
    </w:rPr>
  </w:style>
  <w:style w:type="character" w:customStyle="1" w:styleId="83">
    <w:name w:val="Char Char4"/>
    <w:qFormat/>
    <w:uiPriority w:val="0"/>
    <w:rPr>
      <w:rFonts w:ascii="Tahoma" w:hAnsi="Tahoma" w:cs="Tahoma"/>
      <w:color w:val="000000"/>
      <w:sz w:val="16"/>
      <w:szCs w:val="16"/>
      <w:lang w:val="en-GB" w:eastAsia="ja-JP"/>
    </w:rPr>
  </w:style>
  <w:style w:type="character" w:customStyle="1" w:styleId="84">
    <w:name w:val="Char Char3"/>
    <w:qFormat/>
    <w:uiPriority w:val="0"/>
    <w:rPr>
      <w:rFonts w:ascii="Courier New" w:hAnsi="Courier New"/>
      <w:lang w:val="nb-NO"/>
    </w:rPr>
  </w:style>
  <w:style w:type="character" w:customStyle="1" w:styleId="85">
    <w:name w:val="NO Zchn"/>
    <w:qFormat/>
    <w:uiPriority w:val="0"/>
    <w:rPr>
      <w:color w:val="000000"/>
      <w:lang w:val="en-GB" w:eastAsia="ja-JP"/>
    </w:rPr>
  </w:style>
  <w:style w:type="character" w:customStyle="1" w:styleId="86">
    <w:name w:val="Editor's Note Char"/>
    <w:qFormat/>
    <w:uiPriority w:val="0"/>
    <w:rPr>
      <w:color w:val="FF0000"/>
      <w:lang w:val="en-GB" w:eastAsia="ja-JP"/>
    </w:rPr>
  </w:style>
  <w:style w:type="paragraph" w:customStyle="1" w:styleId="87">
    <w:name w:val="Clear formatting"/>
    <w:basedOn w:val="1"/>
    <w:qFormat/>
    <w:uiPriority w:val="0"/>
    <w:rPr>
      <w:b/>
    </w:rPr>
  </w:style>
  <w:style w:type="paragraph" w:customStyle="1" w:styleId="88">
    <w:name w:val="Char Char1 Char Char Char Char Char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sz w:val="22"/>
      <w:lang w:val="en-US" w:eastAsia="zh-CN" w:bidi="ar-SA"/>
    </w:rPr>
  </w:style>
  <w:style w:type="character" w:customStyle="1" w:styleId="89">
    <w:name w:val="Char Char2"/>
    <w:qFormat/>
    <w:uiPriority w:val="0"/>
    <w:rPr>
      <w:color w:val="000000"/>
      <w:lang w:val="en-GB" w:eastAsia="ja-JP"/>
    </w:rPr>
  </w:style>
  <w:style w:type="character" w:customStyle="1" w:styleId="90">
    <w:name w:val="Char Char1"/>
    <w:qFormat/>
    <w:uiPriority w:val="0"/>
    <w:rPr>
      <w:b/>
      <w:bCs/>
      <w:color w:val="000000"/>
      <w:lang w:val="en-GB" w:eastAsia="ja-JP"/>
    </w:rPr>
  </w:style>
  <w:style w:type="character" w:customStyle="1" w:styleId="91">
    <w:name w:val="TAL Char"/>
    <w:link w:val="50"/>
    <w:qFormat/>
    <w:uiPriority w:val="0"/>
    <w:rPr>
      <w:rFonts w:ascii="Arial" w:hAnsi="Arial"/>
      <w:color w:val="000000"/>
      <w:sz w:val="18"/>
      <w:lang w:val="en-GB" w:eastAsia="ja-JP"/>
    </w:rPr>
  </w:style>
  <w:style w:type="character" w:customStyle="1" w:styleId="92">
    <w:name w:val="Char Char"/>
    <w:qFormat/>
    <w:uiPriority w:val="0"/>
    <w:rPr>
      <w:color w:val="000000"/>
      <w:lang w:val="en-GB" w:eastAsia="ja-JP"/>
    </w:rPr>
  </w:style>
  <w:style w:type="character" w:customStyle="1" w:styleId="93">
    <w:name w:val="TAC Char"/>
    <w:link w:val="49"/>
    <w:qFormat/>
    <w:locked/>
    <w:uiPriority w:val="0"/>
  </w:style>
  <w:style w:type="character" w:customStyle="1" w:styleId="94">
    <w:name w:val="正文文本 Char"/>
    <w:link w:val="15"/>
    <w:semiHidden/>
    <w:qFormat/>
    <w:uiPriority w:val="0"/>
    <w:rPr>
      <w:color w:val="000000"/>
      <w:lang w:val="en-GB" w:eastAsia="ja-JP"/>
    </w:rPr>
  </w:style>
  <w:style w:type="character" w:customStyle="1" w:styleId="95">
    <w:name w:val="标题 Char"/>
    <w:link w:val="31"/>
    <w:qFormat/>
    <w:uiPriority w:val="10"/>
    <w:rPr>
      <w:rFonts w:ascii="Arial" w:hAnsi="Arial" w:eastAsia="MS Mincho"/>
      <w:b/>
      <w:sz w:val="24"/>
      <w:lang w:val="de-DE" w:eastAsia="en-US"/>
    </w:rPr>
  </w:style>
  <w:style w:type="paragraph" w:customStyle="1" w:styleId="96">
    <w:name w:val="Medium Grid 1 - Accent 21"/>
    <w:basedOn w:val="1"/>
    <w:qFormat/>
    <w:uiPriority w:val="34"/>
    <w:pPr>
      <w:overflowPunct/>
      <w:autoSpaceDE/>
      <w:autoSpaceDN/>
      <w:adjustRightInd/>
      <w:spacing w:after="0"/>
      <w:ind w:left="720"/>
      <w:textAlignment w:val="auto"/>
    </w:pPr>
    <w:rPr>
      <w:rFonts w:eastAsia="Times New Roman"/>
      <w:sz w:val="24"/>
      <w:szCs w:val="24"/>
      <w:lang w:eastAsia="en-US"/>
    </w:rPr>
  </w:style>
  <w:style w:type="character" w:customStyle="1" w:styleId="97">
    <w:name w:val="TAH Car"/>
    <w:link w:val="48"/>
    <w:qFormat/>
    <w:locked/>
    <w:uiPriority w:val="0"/>
    <w:rPr>
      <w:rFonts w:ascii="Arial" w:hAnsi="Arial"/>
      <w:b/>
      <w:color w:val="000000"/>
      <w:sz w:val="18"/>
      <w:lang w:val="en-GB" w:eastAsia="ja-JP"/>
    </w:rPr>
  </w:style>
  <w:style w:type="character" w:customStyle="1" w:styleId="98">
    <w:name w:val="TH Char"/>
    <w:link w:val="66"/>
    <w:qFormat/>
    <w:uiPriority w:val="0"/>
    <w:rPr>
      <w:rFonts w:ascii="Arial" w:hAnsi="Arial"/>
      <w:b/>
      <w:color w:val="000000"/>
      <w:lang w:val="en-GB" w:eastAsia="ja-JP"/>
    </w:rPr>
  </w:style>
  <w:style w:type="character" w:customStyle="1" w:styleId="99">
    <w:name w:val="B2 Char"/>
    <w:link w:val="60"/>
    <w:qFormat/>
    <w:uiPriority w:val="0"/>
    <w:rPr>
      <w:color w:val="000000"/>
      <w:lang w:val="en-GB"/>
    </w:rPr>
  </w:style>
  <w:style w:type="paragraph" w:customStyle="1" w:styleId="100">
    <w:name w:val="Doc-text2"/>
    <w:basedOn w:val="1"/>
    <w:link w:val="10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01">
    <w:name w:val="Doc-text2 Char"/>
    <w:link w:val="100"/>
    <w:qFormat/>
    <w:uiPriority w:val="0"/>
    <w:rPr>
      <w:rFonts w:ascii="Arial" w:hAnsi="Arial" w:eastAsia="MS Mincho"/>
      <w:szCs w:val="24"/>
      <w:lang w:val="en-GB" w:eastAsia="en-GB"/>
    </w:rPr>
  </w:style>
  <w:style w:type="paragraph" w:customStyle="1" w:styleId="102">
    <w:name w:val="Table Caption"/>
    <w:basedOn w:val="1"/>
    <w:next w:val="1"/>
    <w:qFormat/>
    <w:uiPriority w:val="13"/>
    <w:pPr>
      <w:numPr>
        <w:ilvl w:val="0"/>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103">
    <w:name w:val="Table Text"/>
    <w:basedOn w:val="1"/>
    <w:link w:val="104"/>
    <w:qFormat/>
    <w:uiPriority w:val="19"/>
    <w:pPr>
      <w:overflowPunct/>
      <w:autoSpaceDE/>
      <w:autoSpaceDN/>
      <w:adjustRightInd/>
      <w:spacing w:before="40" w:after="40" w:line="276" w:lineRule="auto"/>
      <w:textAlignment w:val="auto"/>
    </w:pPr>
    <w:rPr>
      <w:rFonts w:ascii="Arial" w:hAnsi="Arial"/>
      <w:szCs w:val="22"/>
      <w:lang w:val="zh-CN" w:eastAsia="de-DE"/>
    </w:rPr>
  </w:style>
  <w:style w:type="character" w:customStyle="1" w:styleId="104">
    <w:name w:val="Table Text Char"/>
    <w:link w:val="103"/>
    <w:qFormat/>
    <w:uiPriority w:val="19"/>
    <w:rPr>
      <w:rFonts w:ascii="Arial" w:hAnsi="Arial"/>
      <w:szCs w:val="22"/>
      <w:lang w:val="zh-CN" w:eastAsia="de-DE"/>
    </w:rPr>
  </w:style>
  <w:style w:type="paragraph" w:customStyle="1" w:styleId="105">
    <w:name w:val="List letter"/>
    <w:basedOn w:val="106"/>
    <w:qFormat/>
    <w:uiPriority w:val="7"/>
    <w:pPr>
      <w:numPr>
        <w:ilvl w:val="1"/>
        <w:numId w:val="1"/>
      </w:numPr>
      <w:contextualSpacing/>
    </w:pPr>
  </w:style>
  <w:style w:type="paragraph" w:customStyle="1" w:styleId="106">
    <w:name w:val="Normal Paragraph"/>
    <w:qFormat/>
    <w:uiPriority w:val="99"/>
    <w:pPr>
      <w:spacing w:after="200" w:line="276" w:lineRule="auto"/>
    </w:pPr>
    <w:rPr>
      <w:rFonts w:ascii="Arial" w:hAnsi="Arial" w:eastAsia="宋体" w:cs="Times New Roman"/>
      <w:sz w:val="22"/>
      <w:szCs w:val="22"/>
      <w:lang w:val="en-GB" w:eastAsia="en-GB" w:bidi="ar-SA"/>
    </w:rPr>
  </w:style>
  <w:style w:type="paragraph" w:customStyle="1" w:styleId="107">
    <w:name w:val="List Paragraph Romans"/>
    <w:basedOn w:val="106"/>
    <w:qFormat/>
    <w:uiPriority w:val="8"/>
    <w:pPr>
      <w:numPr>
        <w:ilvl w:val="2"/>
        <w:numId w:val="1"/>
      </w:numPr>
      <w:tabs>
        <w:tab w:val="left" w:pos="1361"/>
      </w:tabs>
      <w:contextualSpacing/>
    </w:pPr>
  </w:style>
  <w:style w:type="character" w:customStyle="1" w:styleId="108">
    <w:name w:val="B3 Char"/>
    <w:link w:val="62"/>
    <w:qFormat/>
    <w:uiPriority w:val="0"/>
    <w:rPr>
      <w:sz w:val="22"/>
    </w:rPr>
  </w:style>
  <w:style w:type="character" w:customStyle="1" w:styleId="109">
    <w:name w:val="NO Char"/>
    <w:link w:val="52"/>
    <w:qFormat/>
    <w:uiPriority w:val="0"/>
    <w:rPr>
      <w:rFonts w:eastAsia="Times New Roman"/>
      <w:color w:val="000000"/>
      <w:sz w:val="22"/>
    </w:rPr>
  </w:style>
  <w:style w:type="paragraph" w:styleId="110">
    <w:name w:val="List Paragraph"/>
    <w:basedOn w:val="1"/>
    <w:link w:val="111"/>
    <w:qFormat/>
    <w:uiPriority w:val="34"/>
    <w:pPr>
      <w:overflowPunct/>
      <w:autoSpaceDE/>
      <w:autoSpaceDN/>
      <w:adjustRightInd/>
      <w:spacing w:after="100" w:afterAutospacing="1"/>
      <w:ind w:left="1120" w:leftChars="400" w:hanging="720"/>
      <w:textAlignment w:val="auto"/>
    </w:pPr>
    <w:rPr>
      <w:rFonts w:ascii="Times" w:hAnsi="Times" w:eastAsia="Batang"/>
      <w:szCs w:val="24"/>
      <w:lang w:val="en-GB" w:eastAsia="zh-CN"/>
    </w:rPr>
  </w:style>
  <w:style w:type="character" w:customStyle="1" w:styleId="111">
    <w:name w:val="列出段落 Char"/>
    <w:link w:val="110"/>
    <w:qFormat/>
    <w:uiPriority w:val="34"/>
    <w:rPr>
      <w:rFonts w:ascii="Times" w:hAnsi="Times" w:eastAsia="Batang"/>
      <w:sz w:val="22"/>
      <w:szCs w:val="24"/>
      <w:lang w:val="en-GB" w:eastAsia="zh-CN"/>
    </w:rPr>
  </w:style>
  <w:style w:type="character" w:customStyle="1" w:styleId="112">
    <w:name w:val="页脚 Char"/>
    <w:link w:val="22"/>
    <w:qFormat/>
    <w:uiPriority w:val="99"/>
    <w:rPr>
      <w:sz w:val="22"/>
    </w:rPr>
  </w:style>
  <w:style w:type="paragraph" w:customStyle="1" w:styleId="113">
    <w:name w:val="Agreement"/>
    <w:basedOn w:val="1"/>
    <w:next w:val="100"/>
    <w:qFormat/>
    <w:uiPriority w:val="0"/>
    <w:pPr>
      <w:numPr>
        <w:ilvl w:val="0"/>
        <w:numId w:val="4"/>
      </w:numPr>
      <w:overflowPunct/>
      <w:autoSpaceDE/>
      <w:autoSpaceDN/>
      <w:adjustRightInd/>
      <w:spacing w:before="60" w:after="0"/>
      <w:textAlignment w:val="auto"/>
    </w:pPr>
    <w:rPr>
      <w:rFonts w:ascii="Arial" w:hAnsi="Arial" w:eastAsia="MS Mincho"/>
      <w:b/>
      <w:sz w:val="20"/>
      <w:szCs w:val="24"/>
      <w:lang w:val="en-GB" w:eastAsia="en-GB"/>
    </w:rPr>
  </w:style>
  <w:style w:type="paragraph" w:customStyle="1" w:styleId="114">
    <w:name w:val="Style2"/>
    <w:basedOn w:val="5"/>
    <w:link w:val="115"/>
    <w:qFormat/>
    <w:uiPriority w:val="0"/>
    <w:pPr>
      <w:keepLines w:val="0"/>
      <w:spacing w:before="240" w:after="60"/>
      <w:jc w:val="both"/>
      <w:textAlignment w:val="auto"/>
    </w:pPr>
    <w:rPr>
      <w:rFonts w:ascii="Calibri" w:hAnsi="Calibri" w:eastAsia="Times New Roman"/>
      <w:b/>
      <w:bCs/>
      <w:sz w:val="28"/>
      <w:szCs w:val="28"/>
      <w:lang w:val="en-US" w:eastAsia="zh-CN"/>
    </w:rPr>
  </w:style>
  <w:style w:type="character" w:customStyle="1" w:styleId="115">
    <w:name w:val="Style2 Char"/>
    <w:link w:val="114"/>
    <w:qFormat/>
    <w:uiPriority w:val="0"/>
    <w:rPr>
      <w:rFonts w:ascii="Calibri" w:hAnsi="Calibri" w:eastAsia="Times New Roman"/>
      <w:b/>
      <w:bCs/>
      <w:sz w:val="28"/>
      <w:szCs w:val="28"/>
      <w:lang w:eastAsia="zh-CN"/>
    </w:rPr>
  </w:style>
  <w:style w:type="character" w:customStyle="1" w:styleId="116">
    <w:name w:val="题注 Char"/>
    <w:link w:val="16"/>
    <w:qFormat/>
    <w:locked/>
    <w:uiPriority w:val="35"/>
    <w:rPr>
      <w:b/>
      <w:bCs/>
    </w:rPr>
  </w:style>
  <w:style w:type="character" w:customStyle="1" w:styleId="117">
    <w:name w:val="TAH Char"/>
    <w:qFormat/>
    <w:uiPriority w:val="0"/>
    <w:rPr>
      <w:rFonts w:ascii="Arial" w:hAnsi="Arial" w:eastAsia="Times New Roman" w:cs="Times New Roman"/>
      <w:b/>
      <w:kern w:val="0"/>
      <w:sz w:val="18"/>
      <w:szCs w:val="20"/>
      <w:lang w:val="en-GB" w:eastAsia="en-GB"/>
    </w:rPr>
  </w:style>
  <w:style w:type="paragraph" w:customStyle="1" w:styleId="118">
    <w:name w:val="Revision"/>
    <w:hidden/>
    <w:qFormat/>
    <w:uiPriority w:val="71"/>
    <w:rPr>
      <w:rFonts w:ascii="Times New Roman" w:hAnsi="Times New Roman" w:eastAsia="宋体" w:cs="Times New Roman"/>
      <w:sz w:val="22"/>
      <w:lang w:val="en-US" w:eastAsia="zh-CN" w:bidi="ar-SA"/>
    </w:rPr>
  </w:style>
  <w:style w:type="character" w:customStyle="1" w:styleId="119">
    <w:name w:val="B1 Zchn"/>
    <w:link w:val="61"/>
    <w:qFormat/>
    <w:locked/>
    <w:uiPriority w:val="0"/>
    <w:rPr>
      <w:sz w:val="22"/>
    </w:rPr>
  </w:style>
  <w:style w:type="character" w:customStyle="1" w:styleId="120">
    <w:name w:val="批注文字 Char"/>
    <w:basedOn w:val="12"/>
    <w:link w:val="18"/>
    <w:semiHidden/>
    <w:qFormat/>
    <w:uiPriority w:val="0"/>
    <w:rPr>
      <w:sz w:val="22"/>
    </w:rPr>
  </w:style>
  <w:style w:type="character" w:customStyle="1" w:styleId="121">
    <w:name w:val="标题 4 Char"/>
    <w:basedOn w:val="12"/>
    <w:link w:val="5"/>
    <w:qFormat/>
    <w:uiPriority w:val="9"/>
    <w:rPr>
      <w:rFonts w:ascii="Arial" w:hAnsi="Arial"/>
      <w:sz w:val="24"/>
      <w:lang w:val="en-GB" w:eastAsia="ja-JP"/>
    </w:rPr>
  </w:style>
  <w:style w:type="character" w:customStyle="1" w:styleId="122">
    <w:name w:val="B1 Char1"/>
    <w:qFormat/>
    <w:uiPriority w:val="0"/>
    <w:rPr>
      <w:rFonts w:eastAsia="Times New Roman"/>
      <w:lang w:val="en-GB" w:eastAsia="ja-JP"/>
    </w:rPr>
  </w:style>
  <w:style w:type="character" w:customStyle="1" w:styleId="123">
    <w:name w:val="B3 Char2"/>
    <w:qFormat/>
    <w:uiPriority w:val="0"/>
    <w:rPr>
      <w:rFonts w:eastAsia="Times New Roman"/>
      <w:lang w:val="en-GB" w:eastAsia="ja-JP"/>
    </w:rPr>
  </w:style>
  <w:style w:type="character" w:customStyle="1" w:styleId="124">
    <w:name w:val="B4 Char"/>
    <w:link w:val="63"/>
    <w:qFormat/>
    <w:uiPriority w:val="0"/>
    <w:rPr>
      <w:sz w:val="22"/>
    </w:rPr>
  </w:style>
  <w:style w:type="character" w:customStyle="1" w:styleId="125">
    <w:name w:val="B1 (文字)"/>
    <w:qFormat/>
    <w:locked/>
    <w:uiPriority w:val="0"/>
    <w:rPr>
      <w:rFonts w:eastAsia="Times New Roman"/>
      <w:lang w:val="en-GB" w:eastAsia="en-GB"/>
    </w:rPr>
  </w:style>
  <w:style w:type="character" w:customStyle="1" w:styleId="126">
    <w:name w:val="标题 1 Char"/>
    <w:basedOn w:val="12"/>
    <w:link w:val="2"/>
    <w:qFormat/>
    <w:uiPriority w:val="0"/>
    <w:rPr>
      <w:rFonts w:ascii="Arial" w:hAnsi="Arial"/>
      <w:sz w:val="36"/>
      <w:lang w:val="en-GB" w:eastAsia="ja-JP"/>
    </w:rPr>
  </w:style>
  <w:style w:type="paragraph" w:customStyle="1" w:styleId="127">
    <w:name w:val="CR Cover Page"/>
    <w:link w:val="128"/>
    <w:qFormat/>
    <w:uiPriority w:val="0"/>
    <w:pPr>
      <w:spacing w:after="120"/>
    </w:pPr>
    <w:rPr>
      <w:rFonts w:ascii="Arial" w:hAnsi="Arial" w:eastAsia="Times New Roman" w:cs="Times New Roman"/>
      <w:lang w:val="en-GB" w:eastAsia="en-US" w:bidi="ar-SA"/>
    </w:rPr>
  </w:style>
  <w:style w:type="character" w:customStyle="1" w:styleId="128">
    <w:name w:val="CR Cover Page Zchn"/>
    <w:link w:val="127"/>
    <w:qFormat/>
    <w:uiPriority w:val="0"/>
    <w:rPr>
      <w:rFonts w:ascii="Arial" w:hAnsi="Arial" w:eastAsia="Times New Roman"/>
      <w:lang w:val="en-GB" w:eastAsia="en-US"/>
    </w:rPr>
  </w:style>
  <w:style w:type="paragraph" w:customStyle="1" w:styleId="129">
    <w:name w:val="3GPP_Header"/>
    <w:basedOn w:val="15"/>
    <w:qFormat/>
    <w:uiPriority w:val="0"/>
    <w:pPr>
      <w:tabs>
        <w:tab w:val="left" w:pos="1701"/>
        <w:tab w:val="right" w:pos="9639"/>
      </w:tabs>
      <w:overflowPunct/>
      <w:autoSpaceDE/>
      <w:autoSpaceDN/>
      <w:adjustRightInd/>
      <w:spacing w:after="240" w:line="259" w:lineRule="auto"/>
      <w:textAlignment w:val="auto"/>
    </w:pPr>
    <w:rPr>
      <w:rFonts w:ascii="Arial" w:hAnsi="Arial" w:eastAsiaTheme="minorHAnsi" w:cstheme="minorBidi"/>
      <w:b/>
      <w:sz w:val="24"/>
      <w:szCs w:val="22"/>
      <w:lang w:val="en-GB" w:eastAsia="en-US"/>
    </w:rPr>
  </w:style>
  <w:style w:type="paragraph" w:customStyle="1" w:styleId="130">
    <w:name w:val="Source"/>
    <w:basedOn w:val="1"/>
    <w:qFormat/>
    <w:uiPriority w:val="0"/>
    <w:pPr>
      <w:overflowPunct/>
      <w:autoSpaceDE/>
      <w:autoSpaceDN/>
      <w:adjustRightInd/>
      <w:spacing w:after="60" w:line="240" w:lineRule="auto"/>
      <w:ind w:left="1985" w:hanging="1985"/>
      <w:jc w:val="left"/>
      <w:textAlignment w:val="auto"/>
    </w:pPr>
    <w:rPr>
      <w:rFonts w:ascii="Arial" w:hAnsi="Arial" w:cs="Arial" w:eastAsiaTheme="minorEastAsia"/>
      <w:b/>
      <w:sz w:val="20"/>
      <w:lang w:val="en-GB" w:eastAsia="en-US"/>
    </w:rPr>
  </w:style>
  <w:style w:type="paragraph" w:customStyle="1" w:styleId="131">
    <w:name w:val="Contact"/>
    <w:basedOn w:val="5"/>
    <w:qFormat/>
    <w:uiPriority w:val="0"/>
    <w:pPr>
      <w:keepLines w:val="0"/>
      <w:tabs>
        <w:tab w:val="left" w:pos="2268"/>
        <w:tab w:val="left" w:pos="2694"/>
      </w:tabs>
      <w:overflowPunct/>
      <w:autoSpaceDE/>
      <w:autoSpaceDN/>
      <w:adjustRightInd/>
      <w:spacing w:before="0" w:after="0"/>
      <w:ind w:left="567"/>
      <w:textAlignment w:val="auto"/>
    </w:pPr>
    <w:rPr>
      <w:rFonts w:cs="Arial" w:eastAsiaTheme="minorEastAsia"/>
      <w:b/>
      <w:sz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A9D53-D566-4E32-969A-3CEB8A947044}">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12</Pages>
  <Words>3643</Words>
  <Characters>20769</Characters>
  <Lines>173</Lines>
  <Paragraphs>48</Paragraphs>
  <TotalTime>2</TotalTime>
  <ScaleCrop>false</ScaleCrop>
  <LinksUpToDate>false</LinksUpToDate>
  <CharactersWithSpaces>24364</CharactersWithSpaces>
  <Application>WPS Office_11.2.0.11516_F1E327BC-269C-435d-A152-05C5408002CA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2023-02-13T06:50:00Z</dcterms:created>
  <dc:creator>Template: M Pope</dc:creator>
  <cp:lastModifiedBy>chinaTelecom-Zuping Wu</cp:lastModifiedBy>
  <cp:lastPrinted>2019-02-06T17:41:00Z</cp:lastPrinted>
  <dcterms:modified xsi:type="dcterms:W3CDTF">2023-04-06T06:19:29Z</dcterms:modified>
  <dc:title>SA WG2 Temporary Document</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(3)3Ba95oJhb9GGjIfgPGiIwnfoNuiYuTWViAADjvNZYP4hJGlcK/pVTrqYMJgCSqgMemfNzs4O
zniRaxifJm82/rXe7ja3XUFN4yXyCccdCls5eGSISkefCMQC2AIsOZygXxyvOqo20XXldFpa
TmX0FGFZuFlXImBPLMCZmakrUIylULQRNG3hyEDTEJtP5iOzoUVu6PYqHfHSO7dlkq5GspIZ
sTvkK1ACq/jZzYXBtg</vt:lpwstr>
  </property>
  <property fmtid="{D5CDD505-2E9C-101B-9397-08002B2CF9AE}" pid="4" name="_2015_ms_pID_7253431">
    <vt:lpwstr>F8hMkx0JJxEXpvvpA2XZZoVIHwJIdRGAoThuNJLCfW+mr7xmI60ox8
vA3pi7CwylCH0bbZRh1RxKEzKz3jItx3GOP0PSrZ+Yq+8czF1OQI392lSVAM3IwCWb+3GHhX
+ySWbr4UnmmSaE6Uvs2gSYW+0GuHREuY5v5SsSnKbCi6bJ3mh8U+LMemJ7PAkQYgevAdJhSj
N3HwFD4yqcidZMAWQXrhbt4J/cAC4PstxqlO</vt:lpwstr>
  </property>
  <property fmtid="{D5CDD505-2E9C-101B-9397-08002B2CF9AE}" pid="5" name="_2015_ms_pID_7253432">
    <vt:lpwstr>9g==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1674893513</vt:lpwstr>
  </property>
  <property fmtid="{D5CDD505-2E9C-101B-9397-08002B2CF9AE}" pid="10" name="KSOProductBuildVer">
    <vt:lpwstr>1033-11.2.0.11516</vt:lpwstr>
  </property>
  <property fmtid="{D5CDD505-2E9C-101B-9397-08002B2CF9AE}" pid="11" name="ICV">
    <vt:lpwstr>EAD931874E544D3FAFC575F59A03B359</vt:lpwstr>
  </property>
</Properties>
</file>